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81/02 vom 14. Februar 2003</w:t>
      </w:r>
    </w:p>
    <w:p>
      <w:r>
        <w:t>Bundesgericht, 2003-02-14, FR</w:t>
      </w:r>
    </w:p>
    <w:p>
      <w:r>
        <w:rPr>
          <w:b/>
        </w:rPr>
        <w:t xml:space="preserve">Quelle: </w:t>
      </w:r>
      <w:r>
        <w:t>https://mcp.opencaselaw.ch/entscheid/bger_I_81_02</w:t>
      </w:r>
    </w:p>
    <w:p>
      <w:r>
        <w:t>FR: TF I 81/02 du 14 février 2003</w:t>
      </w:r>
    </w:p>
    <w:p>
      <w:r>
        <w:t>IT: TF I 81/02 del 14 febbraio 2003</w:t>
      </w:r>
    </w:p>
    <w:p>
      <w:pPr>
        <w:pStyle w:val="Heading2"/>
      </w:pPr>
      <w:r>
        <w:t>Regeste</w:t>
      </w:r>
    </w:p>
    <w:p>
      <w:r>
        <w:t>Assurance-invalidité</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l'assurance-vieillesse et survivants et de l'assurance-invalidité. Cependant, le cas d'espèce reste régi par les dispositions de la LAVS et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2.1</w:t>
      </w:r>
    </w:p>
    <w:p>
      <w:r>
        <w:t>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 ATF 125 V 23 consid. 1a, 122 V 322 consid. 1).</w:t>
      </w:r>
    </w:p>
    <w:p>
      <w:r>
        <w:rPr>
          <w:b/>
        </w:rPr>
        <w:t>E. 2.2</w:t>
      </w:r>
    </w:p>
    <w:p>
      <w:r>
        <w:t>Selon l'art. 84 al. 1, 1ère phrase, LAVS - applicable dans la procédure en matière d'assurance-invalidité ( art. 69 LAI ) -, les intéressés peuvent, dans les 30 jours dès la notification, interjeter recours contre les décisions des caisses de compensation prises en vertu de la LAVS. Les principes relatifs à la qualité pour recourir devant le Tribunal fédéral déterminent également la recevabilité du recours devant l'autorité de première instance. En effet, en vertu de la force dérogatoire du droit fédéral et conformément au principe de l'unité de la procédure, la qualité pour agir devant les autorités administratives et juridictionnelles cantonales dont les décisions sont sujettes au recours de droit administratif ne peut être subordonnée à des conditions plus strictes que celles qui régissent la qualité pour recourir au sens de l' art. 103 let. a OJ et de l' art. 48 let. a PA , de même contenu ( ATF 123 V 114 sv. consid. 3 et les références). Il en résulte que la qualité de l'assuré pour recourir devant la juridiction cantonale devra être examinée selon les principes découlant de l' art. 103 OJ .</w:t>
      </w:r>
    </w:p>
    <w:p>
      <w:r>
        <w:rPr>
          <w:b/>
        </w:rPr>
        <w:t>E. 2.3</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123 V 115 sv. consid. 5a, 122 II 132 consid. 2b et les arrêts cités). Selon la jurisprudence relative à l' art. 103 let. a OJ , il n'existe pas d'intérêt digne de protection lorsque le recours vise exclusivement à mettre en cause la motivation d'une décision attaquée, sans tendre à la modification de son dispositif. Or, pour ce qui a trait aux décisions concernant l'octroi ou le refus de prestations d'assurance, seule la prestation constitue en principe l'objet du dispositif. Comme l'évaluation du degré d'invalidité ouvrant droit à la rente relève, en règle générale, de la motivation de la décision d'octroi de prestations, elle ne peut faire partie du dispositif que dans la mesure où elle fait l'objet d'une décision en constatation. Seul le dispositif étant attaquable, il convient, en cas de contestation des motifs d'une décision d'octroi de prestations, de rechercher si, dans le cas particulier, le dispositif n'est pas aussi remis en cause implicitement. Il y a donc lieu d'examiner si le recourant a éventuellement un intérêt digne de protection à ce qu'il soit rendu une décision de constatation touchant le point contesté de la décision ( ATF 115 V 417 sv. consid. 3b/aa et les arrêts cités). A cet égard, le Tribunal fédéral des assurances a jugé que si une rente d'invalidité de l'assurance-accidents est allouée au titre de rente complémentaire, l'assuré a un intérêt à faire constater que le degré de son invalidité est supérieur, même si cette augmentation n'influe pas sur le montant de la rente. Il a considéré, en effet, qu'il n'était pas totalement exclu qu'une augmentation du taux d'invalidité ait une influence sur le montant de la rente complémentaire, de sorte que dans le cas particulier, non seulement la motivation de la décision mais aussi son dispositif étaient implicitement remis en cause et l'intéressé avait un intérêt digne de protection à faire constater son taux d'invalidité ( ATF 115 V 418 sv. consid. 3b/bb et cc).</w:t>
      </w:r>
    </w:p>
    <w:p>
      <w:r>
        <w:rPr>
          <w:b/>
        </w:rPr>
        <w:t>E. 3</w:t>
      </w:r>
    </w:p>
    <w:p>
      <w:r>
        <w:t>En l'espèce, tant en instance fédérale que devant la juridiction cantonale, le recourant ne conteste pas le refus de l'intimé de lui allouer une rente d'invalidité. Il ne s'en prend qu'à la motivation de la décision entreprise, et encore seulement dans la mesure où l'administration a fixé à 30 % son incapacité de travail dans son activité de moniteur de voile et de skipper de haute mer. Or, cette évaluation n'a pas même été déterminante pour le refus de la rente, puisque le taux d'invalidité a été fixé en fonction de la capacité résiduelle de gain de l'intéressé dans une activité adaptée. Dans ces conditions, il n'apparaît pas que le recours contre la décision du 3 octobre 2000 tendît aussi implicitement à la remise en cause de son dispositif. C'est pourquoi l'intéressé n'avait pas un intérêt digne de protection à obtenir la modification de la motivation de l'acte attaqué. La juridiction cantonale, qui a nié également l'existence d'un tel intérêt, devait non pas rejeter le recours, mais le déclarer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