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767/01 vom 28. April 2003</w:t>
      </w:r>
    </w:p>
    <w:p>
      <w:r>
        <w:t>Bundesgericht, 2003-04-28, DE</w:t>
      </w:r>
    </w:p>
    <w:p>
      <w:r>
        <w:rPr>
          <w:b/>
        </w:rPr>
        <w:t xml:space="preserve">Quelle: </w:t>
      </w:r>
      <w:r>
        <w:t>https://mcp.opencaselaw.ch/entscheid/bger_I_767_01</w:t>
      </w:r>
    </w:p>
    <w:p>
      <w:r>
        <w:t>FR: TF I 767/01 du 28 avril 2003</w:t>
      </w:r>
    </w:p>
    <w:p>
      <w:r>
        <w:t>IT: TF I 767/01 del 28 aprile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w:t>
      </w:r>
    </w:p>
    <w:p>
      <w:r>
        <w:rPr>
          <w:b/>
        </w:rPr>
        <w:t>E. 2.1</w:t>
      </w:r>
    </w:p>
    <w:p>
      <w:r>
        <w:t>Die dem Eidgenössischen Versicherungsgericht in Streitigkeiten um Versicherungsleistungen zustehende umfassende Kognition ( Art. 132 OG ) hatte unter anderem zur Folge, dass grundsätzlich auch neue, erstmals im letztinstanzlichen Rechtsmittelverfahren vorgebrachte Tatsachenbehauptungen und Beweismittel (sog. Noven) zu berücksichtigen waren (RKUV 1999 Nr. U 333 S. 197 Erw. 1; ferner BGE 103 Ib 196 Erw. 4a, 102 Ib 127 Erw. 2a, 100 Ib 355). In BGE 127 V 353 hat das Gericht seine bisherige Rechtsprechung geändert und jener des Bundesgerichtes angeglichen. Danach können nach Ablauf der Rechtsmittelfrist - ausser im Rahmen eines zweiten Schriftenwechsels - keine neuen Akten mehr eingebracht werden. Vorbehalten bleibt lediglich der Fall, dass solche Aktenstücke neue erhebliche Tatsachen oder entscheidende Beweismittel im Sinne von Art. 137 lit. b OG darstellen und als solche eine Revision des Gerichtsurteils rechtfertigen könnten (a.a.O., S. 357 Erw. 4).</w:t>
      </w:r>
    </w:p>
    <w:p>
      <w:r>
        <w:rPr>
          <w:b/>
        </w:rPr>
        <w:t>E. 2.2</w:t>
      </w:r>
    </w:p>
    <w:p>
      <w:r>
        <w:t>Dies trifft vorliegend nicht zu. Denn die vom Beschwerdeführer neu beigebrachten Berichte der Dr. med. W.________, Assistenzärztin Orthopädie an der Klinik Q.________, vom 17. April 2002 und des Dr. med. M.________, Spezialarzt für Orthopädische Chirurgie FMH, vom 2. Oktober 2002 beziehen sich auf den Zeitraum nach dem Erlass der streitigen Verwaltungsverfügung vom 25. Mai 2000, haben diese beiden Ärzte den Beschwerdeführer doch erst am 12. April 2002 bzw. am 30. September 2002 untersucht.</w:t>
      </w:r>
    </w:p>
    <w:p>
      <w:r>
        <w:rPr>
          <w:b/>
        </w:rPr>
        <w:t>E. 3.1</w:t>
      </w:r>
    </w:p>
    <w:p>
      <w:r>
        <w:t>Nach Art. 4 Abs. 1 IVG gilt als Invalidität die durch einen körperlichen oder geistigen Gesundheitsschaden als Folge von Geburtsgebrechen, Krankheit oder Unfall verursachte, voraussichtlich bleibende oder längere Zeit dauernde Erwerbsunfähigkeit.</w:t>
      </w:r>
    </w:p>
    <w:p>
      <w:r>
        <w:rPr>
          <w:b/>
        </w:rPr>
        <w:t>E. 3.2</w:t>
      </w:r>
    </w:p>
    <w:p>
      <w:r>
        <w:t>Die Bestimmungen und Grundsätze über die Voraussetzungen und den Umfang des strittigen Rentenanspruches ( Art. 28 Abs. 1 und 1bis IVG ) sowie die Ermittlung des Invaliditätsgrades bei Erwerbstätigen nach der allgemeinen Methode des Einkommensvergleichs ( Art. 28 Abs. 2 IVG ; BGE 104 V 136 Erw. 2a und b) werden in der streitigen Verfügung vom 25. Mai 2000 zutreffend dargelegt. Darauf wird verwiesen.</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w:t>
      </w:r>
    </w:p>
    <w:p>
      <w:r>
        <w:rPr>
          <w:b/>
        </w:rPr>
        <w:t>E. 3.4</w:t>
      </w:r>
    </w:p>
    <w:p>
      <w:r>
        <w:t>Unter gewissen Umständen können schmerzhafte somatoforme Beschwerden bzw. Schmerzverarbeitungsstörungen eine Arbeitsunfähigkeit verursachen. Solche Beschwerden fallen unter die Kategorie der psychischen Leiden, für die grundsätzlich ein psychiatrisches Gutachten erforderlich ist, wenn es darum geht, über die durch sie bewirkte Arbeitsunfähigkeit zu befinden (AHI 2000 S. 159 Erw. 4b mit Hinweisen; siehe auch Urteile L. vom 6. Mai 2002 [I 275/01] Erw. 3a/bb und b sowie Q. vom 8. August 2002 [I 783/01] Erw. 3a). Nach der Rechtssprechung ( BGE 127 V 298 Erw. 4c und 5; AHI 2000 S. 152 Erw. 2c) besteht die Aufgabe medizinischer Experten bei der Beurteilung des invalidisierenden Charakters somatoformer Störungen nebst der Diagnosestellung darin, sich zum Schweregrad der Symptomatik und zur Prognose zu äussern und darauf abgestützt Aussagen zur Leistungsfähigkeit und Zumutbarkeit zu machen. In diesem Zusammenhang hat die Gutachterin oder der Gutachter das Vorliegen invaliditätsbegründender Faktoren wie auffällige prämorbide Persönlichkeitsstruktur, psychiatrische Komorbidität, chronische körperliche Begleiterkrankungen, Verlust der sozialen Integration, ausgeprägter Krankheitsgewinn, mehrjähriger Krankheitsverlauf mit unveränderter oder progredienter Symptomatik, unbefriedigende Behandlungsergebnisse und gescheiterte Rehabilitationsmassnahmen zu beurteilen. Andererseits ist Stellung zu nehmen zu allfälligen rentenausschliessenden Faktoren.</w:t>
      </w:r>
    </w:p>
    <w:p>
      <w:r>
        <w:rPr>
          <w:b/>
        </w:rPr>
        <w:t>E. 3.5</w:t>
      </w:r>
    </w:p>
    <w:p>
      <w:r>
        <w:t>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122 V 160 f. Erw. 1c mit Hinweisen).</w:t>
      </w:r>
    </w:p>
    <w:p>
      <w:r>
        <w:rPr>
          <w:b/>
        </w:rPr>
        <w:t>E. 4.1</w:t>
      </w:r>
    </w:p>
    <w:p>
      <w:r>
        <w:t>In einem im Auftrage der IV-Stelle hinsichtlich der somatischen Seite erstellten gutachtlichen Bericht vom 10. August 1999 diagnostiziert Dr. L.________, Spezialärztin FMH für Neurochirurgie, ein lumbales Schmerzsyndrom bei leichter Fehlhaltung der LWS und bei Spondylolisthesis L5 von 6 mm ohne Makroinstabilität, pseudoradikuläre Ausstrahlung in das rechte Bein ohne klinisch nachweisbare Zeichen eines radikulären Geschehens sowie Verdacht auf psychosomatische Überlagerung. Diese Beurteilung steht im Wesentlichen im Einklang mit den Befunden und Feststellungen der SUVA-Ärzte (Austrittsbericht der Rehaklinik Z.________ vom 28. Mai 1999; kreisärztlichen Abschlussuntersuchung vom 17. Juni 1999) und der Orthopädischen Klinik des Spitals Y.________ (Bericht PD Dr. J.________, Chefarztstellvertreter, vom 4. Februar 1999). Neben den Restfolgen des Unfalles (Rücken- und Wirbelsäulenbeschwerden) machte der Beschwerdeführer in der Anmeldung bei der Invalidenversicherung zusätzliche gesundheitliche Beschwerden (Magenschmerzen, Asthma, Stauballergie) geltend, für welche keine Befunde erhoben werden konnten.</w:t>
      </w:r>
    </w:p>
    <w:p>
      <w:r>
        <w:rPr>
          <w:b/>
        </w:rPr>
        <w:t>E. 4.2.1</w:t>
      </w:r>
    </w:p>
    <w:p>
      <w:r>
        <w:t>Hinsichtlich der Arbeitsfähigkeit geht Dr. L.________ davon aus, dass für die bisherige Tätigkeit als Isolierspengler eine 100 %ige Arbeitsunfähigkeit, für eine angepasste Tätigkeit ohne Heben von Lasten über 10 kg und ohne ungeeignete Arbeitsstellung (vornübergeneigt, Reklinationsstellung) aus somatischer Sicht dagegen eine 100 %ige Arbeitsfähigkeit bestehe. Die SUVA-Ärzte erachten aufgrund der organischen Befunde leichte bis mittelschwere Arbeiten ganztags als zumutbar. Dr. S.________, Oberarzt am Spital Y.________, erklärte eine Arbeitsfähigkeit im Umfang von maximal 50 % als zumutbar und hielt fest, dass die vier täglich zumutbaren Arbeitsstunden für leichte rückenadaptierte Tätigkeiten vorzugsweise mit Pausen auf zwei mal zwei Stunden aufgeteilt werden sollten (Berichte Dr. S.________ vom 9. März 2001 und vom 19. April 2001). Der Hausarzt, Dr. med. M.________, Allgemeine Medizin FMH, erachtet den Beschwerdeführer seit 1999 als zu 100 % arbeitsunfähig. Er begründet im Schreiben vom 28. November 2001 an den Vertreter des Beschwerdeführers seine ausdrücklich von der Einschätzung der IV-Stelle abweichende Beurteilung damit, dass er den Versicherten seit langem kenne.</w:t>
      </w:r>
    </w:p>
    <w:p>
      <w:r>
        <w:rPr>
          <w:b/>
        </w:rPr>
        <w:t>E. 4.2.2</w:t>
      </w:r>
    </w:p>
    <w:p>
      <w:r>
        <w:t>Die Einschätzungen der Arbeitsfähigkeit durch Dr. L.________ und die SUVA-Ärzte einerseits weichen von denjenigen des Hausarztes und von Dr. S.________ andererseits ab. Die unterschiedliche Einschätzung der Arbeitsfähigkeit beruht bezüglich der feststellbaren organischen Ursachen der Beschwerden nicht auf abweichenden Diagnosen. Dr. L.________ und der Kreisarzt der SUVA sehen die unbestrittenen Befunde jedoch nicht als Ursache oder zumindest nicht als primäre Ursachen der Beschwerden. Auch für Dr. S.________ steht die Schmerzproblematik im Vordergrund. Die unterschiedliche Einschätzung der Arbeitsfähigkeit lässt sich auch nicht allein damit erklären, dass die behandelnden Ärzte des Spitals Y.________ die psychische Komponente miteinbezogen haben. Die Frage der somatisch begründeten Einschränkung der Arbeits- bzw. Erwerbsfähigkeit bedarf deshalb einer erneuten fachärztlichen Abklärung, welche - wie sich aus der nachfolgenden Erwägung ergibt - am besten im Rahmen einer polydisziplinären Begutachtung erfolgt.</w:t>
      </w:r>
    </w:p>
    <w:p>
      <w:r>
        <w:rPr>
          <w:b/>
        </w:rPr>
        <w:t>E. 4.3</w:t>
      </w:r>
    </w:p>
    <w:p>
      <w:r>
        <w:t>Gestützt auf Hinweise in den Berichten der Dr. L.________ und der Rehaklinik Z.________ liess die IV-Stelle den Versicherten psychiatrisch untersuchen. Im Gutachten vom 16. September 1999 stellt Dr. med. H.________, Psychiatrie Psychotherapie FMH, die Diagnose einer mässig ausgeprägten Hypochondrie (ICD-10: F45.2) bei ungünstigen soziokulturellen Umständen. In der Beurteilung wies er darauf hin, dass angesichts der Diskrepanz zwischen objektiven Befunden und dem stark ausgepägten Schmerzsyndrom an eine psychogene Überlagerung, namentlich an eine dissoziale Persönlichkeitsstörung, gedacht worden sei. Von den für die Annahme dieser Diagnose (ICD-10 [F60.2]) erforderlichen sechs Kriterien sei praktisch keines gegeben. Der Experte weist darauf hin, dass hypochondrische Störungen sich oft bei chronischen Schmerzsyndromen fänden und als reaktiv anzusehen seien. Die diagnostizierte Hypochondrie sei vorliegend nur mässig ausgeprägt und stelle für sich genommen keinen Gesundheitsschaden dar, welcher die Erwerbsfähigkeit massgeblich einschränke. Daneben bestünden aber massgebliche soziokulturelle Umstände, welche die Erwerbsfähigkeit einschränkten. Nach Dr. H.________ geht das Unvermögen des Beschwerdeführers, einer Erwerbstätigkeit nachzugehen, überwiegend auf soziokulturelle Umstände zurück. Gemäss der Rechtsprechung ( BGE 127 V 299 Erw. 5a) bilden soziokulturelle Umstände keinen im Sinne von Art. 4 Abs. 1 IVG versicherten Gesundheitsschaden. Es braucht viel mehr in jedem Fall zur Annahme einer Invalidität ein medizinisches Substrat, das (fach)ärztlicherseits schlüssig festgestellt ist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Es mag zutreffen, dass die Hypochondrie oftmals eine Reaktion auf ein chronische Schmerzsyndrom ist, doch hier wird bereits im psychosomatischen Konsilium der Rehaklinik Z.________ - aufgrund einer umfassenden Anamnese - auf eine (länger zurückreichende) Disposition des Beschwerdeführers zu Psychosomatosen hingewiesen. Mit diesen Befunden setzt sich der Gutachter überhaupt nicht auseinander. Weil die Frage nach dem Vorliegen einer psychischen Störung nicht genügend geprüft wurde und der Gutachter die zentrale Frage nicht beantwortet, ob der Beschwerdeführer über psychische Ressourcen verfügt, die es ihm erlauben, mit seinen Schmerzen umzugehen, kann das Gutachten nicht als umfassend angesehen werden. Auf das Gutachten, welches offenbar aufgrund eines einzigen Gespräches und ohne Beisein eines Dolmetschers erstellt wurde, obwohl der Beschwerdeführer der deutschen Sprache nur beschränkt mächtig ist, kann deshalb nicht abschliessend abgestellt werden. Die Frage einer allfälligen psychischen Erkrankung und deren Auswirkung auf die Arbeits- bzw. Erwerbsfähigkeit ist durch eine neue psychiatrische Begutachtung im Rahmen einer polydisziplinären Begutachtung zu klären.</w:t>
      </w:r>
    </w:p>
    <w:p>
      <w:r>
        <w:rPr>
          <w:b/>
        </w:rPr>
        <w:t>E. 4.4</w:t>
      </w:r>
    </w:p>
    <w:p>
      <w:r>
        <w:t>Aus den angeführten Gründen wird die Sache zur Anordnung einer polydisziplinären Begutachtung an die Verwaltung zurückgewiesen.</w:t>
      </w:r>
    </w:p>
    <w:p>
      <w:r>
        <w:rPr>
          <w:b/>
        </w:rPr>
        <w:t>E. 5.1</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Rechtspflege, einschliesslich der unentgeltlichen Verbeiständung, erweist sich damit als gegenstandslos.</w:t>
      </w:r>
    </w:p>
    <w:p>
      <w:r>
        <w:rPr>
          <w:b/>
        </w:rPr>
        <w:t>E. 5.2</w:t>
      </w:r>
    </w:p>
    <w:p>
      <w:r>
        <w:t>Nach Art. 159 Abs. 2 in Verbindung mit Art. 135 OG wird die unterliegende Partei in der Regel verpflichtet, der obsiegenden alle durch den Rechtsstreit verursachten notwendigen Kosten zu ersetzen. Als Obsiegen im Sinne dieser Bestimmung gilt grundsätzlich auch die Rückweisung der Sache an die Verwaltung zur Vornahme weiterer Abklärungen und zu neuem Entscheid ( BGE 110 V 57 ; SVR 1995 IV Nr. 51 S. 143 Erw. 3a; ZAK 1987 S. 268 Erw. 5a mit Hinweisen). Die dem obsiegenden Beschwerdeführer zustehende Entschädigung für die Kosten der Vertretung ist auf Fr. 2500.- festzusetzen. Hingegen hat die IV-Stelle dem Versicherten unter dem Titel Parteientschädigung im Sinne von Art. 159 OG die Kosten der Begutachtung durch Dr. M.________ im Betrage von Fr. 2000.- nicht zu ersetzen. Denn dabei handelt es sich nicht um notwendige Expertenkosten, da das letztinstanzlich aufgelegte Privatgutachten für die Entscheidfindung nicht notwendig war und auch nicht darauf abgestellt werden konnte.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