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745/02 vom 23. Juli 2003</w:t>
      </w:r>
    </w:p>
    <w:p>
      <w:r>
        <w:t>Bundesgericht, 2003-07-23, DE</w:t>
      </w:r>
    </w:p>
    <w:p>
      <w:r>
        <w:rPr>
          <w:b/>
        </w:rPr>
        <w:t xml:space="preserve">Quelle: </w:t>
      </w:r>
      <w:r>
        <w:t>https://mcp.opencaselaw.ch/entscheid/bger_I_745_02</w:t>
      </w:r>
    </w:p>
    <w:p>
      <w:r>
        <w:t>FR: TF I 745/02 du 23 juillet 2003</w:t>
      </w:r>
    </w:p>
    <w:p>
      <w:r>
        <w:t>IT: TF I 745/02 del 23 luglio 2003</w:t>
      </w:r>
    </w:p>
    <w:p>
      <w:pPr>
        <w:pStyle w:val="Heading2"/>
      </w:pPr>
      <w:r>
        <w:t>Regeste</w:t>
      </w:r>
    </w:p>
    <w:p>
      <w:r>
        <w:t>Invalidenversicherung</w:t>
      </w:r>
    </w:p>
    <w:p>
      <w:pPr>
        <w:pStyle w:val="Heading2"/>
      </w:pPr>
      <w:r>
        <w:t>Erwägungen</w:t>
      </w:r>
    </w:p>
    <w:p>
      <w:r>
        <w:rPr>
          <w:b/>
        </w:rPr>
        <w:t>E. 1</w:t>
      </w:r>
    </w:p>
    <w:p>
      <w:r>
        <w:t>Departementsentscheide unterliegen der Verwaltungsgerichtsbeschwerde an das Eidgenössische Versicherungsgericht, wenn sie Verfügungen darstellen, die auf öffentlichem Recht des Bundes beruhen und das Gebiet der Sozialversicherung betreffen (Art. 128 in Verbindung mit Art. 98 lit. b und Art. 97 Abs. 1 OG in Verbindung mit Art. 5 VwVG ). Auf Grund des angefochtenen Departementsentscheides ist streitig, ob das BSV eine im öffentlichen Recht des Bundes gründende und das Gebiet der Bundessozialversicherung betreffende Verfügung hätte erlassen müssen. Die Vorinstanzen verneinen dies, weil die Sache zivilrechtlicher Natur sei. Diese Frage kann mit Verwaltungsgerichtsbeschwerde dem Eidgenössischen Versicherungsgericht unterbreitet werden (vgl. zur analogen Situation, in der gerügt wird, es sei zu Unrecht kantonales statt öffentliches Recht des Bundes angewendet worden: BGE 110 V 56 Erw. 1a in fine mit Hinweisen). Da sodann kein Unzulässigkeitsgrund im Sinne von Art. 129 in Verbindung mit Art. 101 und Art. 102 OG vorliegt, ist unter dem Gesichtspunkt der sachlichen und funktionellen Zuständigkeit auf die Verwaltungsgerichtsbeschwerde einzutreten.</w:t>
      </w:r>
    </w:p>
    <w:p>
      <w:r>
        <w:rPr>
          <w:b/>
        </w:rPr>
        <w:t>E. 2.1</w:t>
      </w:r>
    </w:p>
    <w:p>
      <w:r>
        <w:t>Nach Art. 108 Abs. 2 OG hat die Verwaltungsgerichtsbeschwerde unter anderm die Begehren und deren Begründung mit Angabe der Beweismittel zu enthalten. Diese Bestimmung soll dem Gericht hinreichende Klarheit darüber verschaffen, worum es beim Rechtsstreit geht. Nach der Praxis genügt es, wenn dies der Verwaltungsgerichtsbeschwerde insgesamt entnommen werden kann. Insbesondere muss zumindest aus der Beschwerdebegründung ersichtlich sein, was die Beschwerde führende Person verlangt und auf welche Tatsachen sie sich beruft. Die Begründung braucht nicht zuzutreffen, aber sie muss sachbezogen sein. Der blosse Hinweis auf frühere Rechtsschriften oder auf den angefochtenen Entscheid genügt nicht. Fehlt der Antrag oder die Begründung überhaupt und lassen sie sich auch nicht der Beschwerdeschrift entnehmen, so liegt keine rechtsgenügliche Beschwerde vor, weshalb auf sie nicht eingetreten werden kann ( BGE 123 V 336 Erw. 1a mit Hinweisen).</w:t>
      </w:r>
    </w:p>
    <w:p>
      <w:r>
        <w:rPr>
          <w:b/>
        </w:rPr>
        <w:t>E. 2.2</w:t>
      </w:r>
    </w:p>
    <w:p>
      <w:r>
        <w:t>Im Lichte dieser Grundsätze ist zweifelhaft, ob die beiden Eingaben vom 13. Oktober 2002 den Anforderungen an eine rechtsgenügliche Verwaltungsgerichtsbeschwerde entsprechen. Immerhin kann den Schreiben ein - sinngemässer - Antrag entnommen werden ("Wir bitten Sie, diese Angelegenheit aus Sicht der Menschenrechte überprüfen zu lassen."). Hingegen lässt sich in den Schreiben vom 13. Oktober 2002 nur schwerlich eine sachbezogene Begründung erblicken, legen F.________ und C.________ doch nicht dar, dass und aus welchen Gründen der angefochtene Departementsentscheid bundesrechtswidrig sein ( Art. 104 lit. a OG ) oder auf einer unrichtigen Tatsachenfeststellung ( Art. 105 Abs. 1 OG ) beruhen sollte. Gegenteils räumen sie ein, dass die "Rechtslogik, die darin enthalten ist", nachvollziehbar ist. Ihren vorgebrachten Einwendungen lässt sich nicht entnehmen, warum das BSV nach geltendem Recht auf den Antrag um Erlass einer Verfügung hätte eintreten sollen und das Departement die gegen die Haltung des Bundesamtes erhobene Beschwerde nicht hätte abweisen dürfen.</w:t>
      </w:r>
    </w:p>
    <w:p>
      <w:r>
        <w:rPr>
          <w:b/>
        </w:rPr>
        <w:t>E. 2.3</w:t>
      </w:r>
    </w:p>
    <w:p>
      <w:r>
        <w:t>Indessen soll und kann die Eintretensfrage im Hauptpunkt offen bleiben, weil das Eidgenössische Versicherungsgericht F.________ und C.________ - im Sinne der Ausführungen des EDI in seiner Vernehmlassung - nicht an den formellen Erfordernissen einer rechtsgenüglichen Verwaltungsgerichtsbeschwerde scheitern lassen will und weil der angefochtene Entscheid einer materiellen Prüfung standhält, wie sich aus dem Nachfolgenden ergibt (Erw. 3). Klar unzulässig ist die Verwaltungsgerichtsbeschwerde hingegen insofern, als damit etwas anderes als die Aufhebung des angefochtenen Departementsentscheides und die Verpflichtung des BSV, eine Verfügung zu erlassen, beantragt wird. Dies betrifft namentlich die Anträge Ziffern 1 und 2 der zweiten Eingabe vom 13. Oktober 2002, ist doch das Eidgenössische Versicherungsgericht weder für die Feststellung einer Persönlichkeitsrechtsverletzung der Geschädigten noch für die Herausgabe der Beweisunterlagen der Invalidenversicherung gegenüber der Haftpflichtversicherung betreffend Regressrecht zuständig.</w:t>
      </w:r>
    </w:p>
    <w:p>
      <w:r>
        <w:rPr>
          <w:b/>
        </w:rPr>
        <w:t>E. 3.1</w:t>
      </w:r>
    </w:p>
    <w:p>
      <w:r>
        <w:t>Für den Rückgriff der Invalidenversicherung auf den haftpflichtigen Dritten gelten sinngemäss die Art. 48ter, 48quater, 48quinquies Abs. 1 sowie 48sexies AHVG ( Art. 52 Abs. 1 IVG ; AHV- wie IV-rechtlich sind die bis zum 31. Dezember 2002 [In-Kraft-Treten des Bundesgesetzes über den Allgemeinen Teil des Sozialversicherungsrechts, ATSG, am 1. Januar 2003] gültig gewesenen Bestimmungen anwendbar; BGE 127 V 467 Erw. 1, 121 V 366 Erw. 1b). Nach Art. 48ter erster Satz AHVG tritt gegenüber einem Dritten, der für den Tod oder die Gesundheitsschädigung eines Versicherten haftet, die Alters- und Hinterlassenenversicherung oder die Invalidenversicherung im Zeitpunkt des Ereignisses bis auf die Höhe ihrer gesetzlichen Leistungen in die Ansprüche des Versicherten und seiner Hinterlassenen ein. Die Ansprüche des Versicherten und seiner Hinterlassenen gehen nur soweit auf die Versicherung über, als deren Leistungen zusammen mit dem von Dritten geschuldeten Ersatz den Schaden übersteigen ( Art. 48quater Abs. 1 AHVG ). Die Ansprüche, die nicht auf die Versicherung übergehen, bleiben dem Versicherten und seinen Hinterlassenen gewahrt. Kann nur ein Teil des von Dritten geschuldeten Ersatzes eingebracht werden, so sind daraus zuerst die Ansprüche des Versicherten und seiner Hinterlassenen zu befriedigen ( Art. 48quater Abs. 3 AHVG ).</w:t>
      </w:r>
    </w:p>
    <w:p>
      <w:r>
        <w:rPr>
          <w:b/>
        </w:rPr>
        <w:t>E. 3.2</w:t>
      </w:r>
    </w:p>
    <w:p>
      <w:r>
        <w:t>Das in der letztgenannten Bestimmung enthaltene Befriedigungs- oder Quotenvorrecht der versicherten Person auf den Haftpflichtanspruch (vgl. hiezu statt vieler: Alfred Maurer, Schweizerisches Sozialversicherungsrecht, Bd. I, Allgemeiner Teil, 2., unveränderte Aufl., Bern 1983, S. 406 ff., insbesondere S. 409) beschlägt nicht das sozialversicherungsrechtliche (Leistungs-)Verhältnis, hinsichtlich dessen die Durchführungsstellen und allenfalls das BSV als Aufsichtsbehörde verfügungszuständig sind ( Art. 84 Abs. 1 AHVG in Verbindung mit Art. 69 IVG und Art. 128 OG ; vgl. BGE 124 V 174 ff.). Ob das Befriedigungsvorrecht gewahrt oder verletzt worden ist, betrifft vielmehr die (zivil-)haftungsrechtliche Beziehung zwischen der geschädigten versicherten Person und dem haftpflichtigen Schädiger und dem hinter ihm stehenden Haftpflichtversicherer. Ob eine Regresserledigung oder -vereinbarung zwischen dem Sozialversicherer und der Haftpflichtversicherung geeignet ist, den Anspruch der geschädigten Person auf Vergütung des nicht durch Leistungen der Sozialversicherung gedeckten Restschadens (oder "Direktschadens"; vgl. Rumo-Jungo, Haftpflicht und Sozialversicherung, Freiburg 1998, Rz. 949) zu vermindern, kann daher nicht Gegenstand eines der Verfügungsbefugnis der Durchführungsstellen und gegebenenfalls des BSV allein zugänglichen sozialversicherungsrechtlichen Leistungsstreitverfahrens bilden. Der Regress des Sozialversicherers - ebenso wie die Geltendmachung des Rest- oder Direktschadens beim Haftpflichtigen oder seiner Haftpflichtversicherung - gehören fraglos dem Privatrecht ( BGE 112 II 88 ff. Erw. 1) an und sind im Streitfall auf dem Zivilprozessweg durchzusetzen (vgl. statt vieler: BGE 124 III 222 , 117 II 609). Es verhält sich nicht wesentlich anders, als wenn im Rahmen von Art. 41 ff. UVG über das Quotenvorrecht des Geschädigten (Art. 42 Abs. 3 zweiter Satz UVG) oder über die Tragweite des Haftungsprivileges der Familienangehörigen oder der Arbeitgeberin ( Art. 44 UVG ) gestritten wird (vgl. z.B. BGE 123 III 314 ff. Erw. 9). Dass der Gesetzgeber, hier wie dort, sozialversicherungsrechtliche Schutz- oder Sonderbestimmungen aufgestellt hat, welche bei der Ermittlung des Direktschadens und der Höhe einer allfälligen Regressforderung des Sozialversicherers beachtlich sind (vgl. z.B. BGE 112 II 167 ), bedeutet nicht, dass dadurch eine sozialversicherungsrechtliche Verfügungsgrundlage geschaffen worden wäre, die es erlauben würde, einen Einzelaspekt der Direkt- und Regressschadenserledigung - hier die Bedeutung des Befriedigungsvorrechtes der versicherten Person im Vergleich zum Regressanspruch des Sozialversicherungsträgers - zu verselbstständigen und damit zum Ausgangspunkt eines sozialversicherungsrechtlichen oder sonst wie öffentlich-rechtlichen Beschwerdeverfahrens zu machen.</w:t>
      </w:r>
    </w:p>
    <w:p>
      <w:r>
        <w:rPr>
          <w:b/>
        </w:rPr>
        <w:t>E. 4</w:t>
      </w:r>
    </w:p>
    <w:p>
      <w:r>
        <w:t>Bei der Durchsicht der in diesem Verfahren aufgelegten Akten fällt auf, dass Art. 11 IVG (Haftung der IV für das Eingliederungsrisiko) von den Verfahrensbeteiligten unerwähnt geblieben ist. Ob die von der IV-Stelle des Kantons Appenzell A.Rh. dokumentierte Leistungserbringung (auch) auf Art. 11 IVG beruht und deren Erfordernisse vollumfänglich erfüllt, ist nach dem Gesagten nicht in diesem Prozess zu prüfen. Hingegen wird es Sache des BSV als Aufsichtsbehörde sein, dieser Frage im Einzelnen nachzugehen, soweit dazu materiell- und verwirkungsrechtlich noch Anlass und Raum besteht.</w:t>
      </w:r>
    </w:p>
    <w:p>
      <w:r>
        <w:rPr>
          <w:b/>
        </w:rPr>
        <w:t>E. 5</w:t>
      </w:r>
    </w:p>
    <w:p>
      <w:r>
        <w:t>Im Hinblick auf die besonderen Verhältnisse der am Recht Stehenden ist auf die Erhebung von Gerichtskosten zu verzichten (Art. 156 in Verbindung mit Art. 135 OG ). Das Gesuch um Gewährung der unentgeltlichen Rechtspflege ist daher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