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I_741/1999 vom 23. Oktober 2000</w:t>
      </w:r>
    </w:p>
    <w:p>
      <w:r>
        <w:t>Bundesgericht, 2000-10-23, DE</w:t>
      </w:r>
    </w:p>
    <w:p>
      <w:r>
        <w:rPr>
          <w:b/>
        </w:rPr>
        <w:t xml:space="preserve">Quelle: </w:t>
      </w:r>
      <w:r>
        <w:t>https://mcp.opencaselaw.ch/entscheid/bger_I_741_1999</w:t>
      </w:r>
    </w:p>
    <w:p>
      <w:r>
        <w:t>FR: TF I_741/1999 du 23 octobre 2000</w:t>
      </w:r>
    </w:p>
    <w:p>
      <w:r>
        <w:t>IT: TF I_741/1999 del 23 ottobre 2000</w:t>
      </w:r>
    </w:p>
    <w:p>
      <w:pPr>
        <w:pStyle w:val="Heading2"/>
      </w:pPr>
      <w:r>
        <w:t>Erwägungen</w:t>
      </w:r>
    </w:p>
    <w:p>
      <w:r>
        <w:rPr>
          <w:b/>
        </w:rPr>
        <w:t>E. 1</w:t>
      </w:r>
    </w:p>
    <w:p>
      <w:r>
        <w:t>Die Beschwerdeführerin hat mit der Begründung, so- wohl im invaliden- als auch im arbeitslosenversicherungsrechtlichen Verfahren gehe es um die gleiche Frage, nämlich die Bemessung der Parteientschädigung, die Vereinigung der Verfahren beantragt. Die Verwaltungsgerichtsbeschwerden betreffen zwar zwei am selben Tag und aus sich entsprechenden Erwägungen heraus gefällte vorinstanzliche Entscheide. Dennoch ist die Vereinigung von zwei Prozessen aus verschiedenen Rechtsgebieten grundsätzlich nicht vorzunehmen. Demzufolge rechtfertigt es sich nicht, die beiden Verfahren antragsgemäss in einem einzigen Urteil zu erledigen ( BGE 123 V 215 Erw. 1, 120 V 466 Erw. 1 mit Hinweisen; Poudret, Commentaire de la loi fédérale d'organisation judiciaire, Bd. 1, S. 343 unten f.).</w:t>
      </w:r>
    </w:p>
    <w:p>
      <w:r>
        <w:rPr>
          <w:b/>
        </w:rPr>
        <w:t>E. 2</w:t>
      </w:r>
    </w:p>
    <w:p>
      <w:r>
        <w:t>a) Vor dem Eidgenössischen Versicherungsgericht ist zu Recht unbestritten, dass der Ausgang des kantonalen Prozesses einem Obsiegen der Beschwerdeführerin gleichkommt. Streitig und zu prüfen ist einzig die Höhe der von der Vorinstanz für das IV-Verfahren zugesprochenen Parteientschädigung.</w:t>
      </w:r>
    </w:p>
    <w:p>
      <w:r>
        <w:t>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Art. 85 Abs. 2 lit. f Satz 3 AHVG, welche Bestimmung kraft der Verweisung in Art. 69 IVG auch auf das erstinstanzliche invalidenversicherungsrechtliche Rechtsmittelverfahren Anwendung findet, hat der obsiegende Beschwerdeführer Anspruch auf Ersatz der Kosten der Prozessführung und Vertretung nach gerichtlicher Festsetzung. Ob und unter welchen Voraussetzungen ein Anspruch auf Parteientschädigung besteht, beurteilt sich somit im Bereich der Invalidenversicherung - anders als in der Arbeitslosenversicherung, wo eine entsprechende Norm fehlt - nach Bundesrecht. Dieses enthält jedoch auch in der Invalidenversicherung keine Bestimmung über die Bemessung der Parteientschädigung und insbesondere keinen Tarif.</w:t>
      </w:r>
    </w:p>
    <w:p>
      <w:r>
        <w:t>Die Regelung der (vorliegend streitigen) Bemessung der Parteientschädigung ist dem kantonalen Recht überlassen. Das Eidgenössische Versicherungsgericht darf die Höhe einer Parteientschädigung nur daraufhin prüfen, ob die Anwendung der für ihre Bemessung einschlägigen kantonalen Bestimmungen zu einer Verletzung von Bundesrecht geführt hat ( Art. 104 lit. a OG ), wobei als Beschwerdegrund praktisch nur das Willkürverbot des Art. 4 Abs. 1 aBV bzw. Art. 9 BV in Betracht fällt ( BGE 120 V 416 Erw. 4a, 114 V 86 Erw. 4a). Nach der Rechtsprechung ist eine Entschädigung willkürlich, wenn sie eine Norm oder einen klaren und unumstrittenen Rechtsgrundsatz offensichtlich schwer verletzt, sich mit sachlichen Gründen schlechthin nicht vertreten lässt oder in stossender Weise dem Gerechtigkeitsgedanken zuwiderläuft ( BGE 114 V 86 Erw. 4a mit Hinweis; vgl. auch BGE 124 V 139 Erw. 2b, 123 I 5 Erw. 4a, 122 I 66 Erw. 3a, je mit Hinweisen).</w:t>
      </w:r>
    </w:p>
    <w:p>
      <w:r>
        <w:t>b) Praxisgemäss ist dem erstinstanzlichen Gericht bei der Bemessung der Parteientschädigung ein weiter Ermessensspielraum einzuräumen ( BGE 114 V 87 Erw.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Rhinow/Krähenmann, Schweizerische Verwaltungsrechtsprechung, Ergänzungsband zur 6. Aufl. , Nr. 67 B II/a S. 211).</w:t>
      </w:r>
    </w:p>
    <w:p>
      <w:r>
        <w:t>Im Rahmen seines Ermessens hat das erstinstanzliche Gericht für die Bestimmung der Höhe des Anwaltshonorars die Wichtigkeit und Schwierigkeit der Streitsache, den Umfang der Arbeitsleistung und den Zeitaufwand des Anwalts zu berücksichtigen ( BGE 114 V 87 Erw. 4b; vgl. auch Art. 2 Abs. 1 des Tarifs über die Entschädigung an die Gegenpartei für das Verfahren vor dem Eidgenössischen Versicherungsgericht vom 16. November 1992). Dabei kann das durchschnittliche Anwaltshonorar pro Stunde je nach der kantonalen Anwaltsgebühren-Regelung willkürfrei innerhalb einer relativ weiten Bandbreite von ca. Fr. 125. - bis Fr. 250. - festgesetzt werden (nicht veröffentlichtes Urteil M. vom 23. Mai 1991 [I 406/90], wobei die seither eingetretene Teuerung zu berücksichtigen ist; vgl. auch RKUV 1997 KV Nr. 15 S. 322; in BGE 118 V 283 nicht publizierte Erw. 6a des Urteils S. vom 22. Oktober 1992 [U 38/92]).</w:t>
      </w:r>
    </w:p>
    <w:p>
      <w:r>
        <w:t>c) Die basellandschaftliche Tarifordnung für die Advokaten (SGS 178. 112) regelt die für die Berechnung der Parteientschädigung durch die richterlichen Behörden notwendigen Grundsätze (§ 1). Bei Sozialversicherungsprozessen ist für die Festsetzung der Parteientschädigung die Berechnung nach dem Zeitaufwand anwendbar (§ 2). Das Honorar beträgt Fr. 100. - bis Fr. 200. - pro Stunde, je nach Schwierigkeit und Bedeutung der Sache sowie der damit verbundenen Verantwortung (§ 3).</w:t>
      </w:r>
    </w:p>
    <w:p>
      <w:r>
        <w:rPr>
          <w:b/>
        </w:rPr>
        <w:t>E. 4</w:t>
      </w:r>
    </w:p>
    <w:p>
      <w:r>
        <w:t>Beizupflichten ist der Beschwerdeführerin insoweit, als in dem vor Vorinstanz im Wesentlichen streitigen Beginn des Rentenanspruches, insbesondere mit Blick auf die davon abhängige Frage der Rückerstattung bezogener Arbeitslosenentschädigung, nicht von einer unbedeutenden Streitsache gesprochen werden kann. Indessen handelt es sich, entgegen der in der Verwaltungsgerichtsbeschwerde vertretenen Auffassung, um einen einfachen Fall, der einen erfahrenen Anwalt nicht vor besondere Schwierigkeiten stellt (vgl. BGE 111 V 50 Erw. 5b; Leuzinger-Naef, Bundesrechtliche Verfahrensanforderungen betreffend Verfahrenskosten, Parteientschädigung und unentgeltlichen Rechtsbeistand im Sozialversicherungsrecht, SZS 1991 S. 183). Im Weitern hat die Versicherte das IV-Rechtsmittelverfahren insofern zumindest teilweise selber verursacht, als sie in der Anmeldung zum Leistungsbezug vom 21. April 1998 ihre letzten beiden Anstellungsverhältnisse (bei der Firma Thyssen Haniel Logistic AG, Basel, von Juli bis Mitte November 1997; bei der Ridoma AG, Reinach, vom 15. Februar bis 31. März 1998) nicht angegeben hat, was zur Folge hatte, dass die IV-Stelle im Rahmen ihrer ersten Verfügung von einem unvollständigen Sachverhalt ausgegangen ist. Im Übrigen kann die allein streitige Frage des Rentenbeginnes, insbesondere auch mit Blick auf das eher bescheidene Aktenmaterial, nicht als besonders aufwändig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