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73/01 vom 24. Mai 2002</w:t>
      </w:r>
    </w:p>
    <w:p>
      <w:r>
        <w:t>Bundesgericht, 2002-05-24, DE</w:t>
      </w:r>
    </w:p>
    <w:p>
      <w:r>
        <w:rPr>
          <w:b/>
        </w:rPr>
        <w:t xml:space="preserve">Quelle: </w:t>
      </w:r>
      <w:r>
        <w:t>https://mcp.opencaselaw.ch/entscheid/bger_I_73_01</w:t>
      </w:r>
    </w:p>
    <w:p>
      <w:r>
        <w:t>FR: TF I 73/01 du 24 mai 2002</w:t>
      </w:r>
    </w:p>
    <w:p>
      <w:r>
        <w:t>IT: TF I 73/01 del 24 maggio 2002</w:t>
      </w:r>
    </w:p>
    <w:p>
      <w:pPr>
        <w:pStyle w:val="Heading2"/>
      </w:pPr>
      <w:r>
        <w:t>Regeste</w:t>
      </w:r>
    </w:p>
    <w:p>
      <w:r>
        <w:t>Invalidenversicherung</w:t>
      </w:r>
    </w:p>
    <w:p>
      <w:pPr>
        <w:pStyle w:val="Heading2"/>
      </w:pPr>
      <w:r>
        <w:t>Erwägungen</w:t>
      </w:r>
    </w:p>
    <w:p>
      <w:r>
        <w:rPr>
          <w:b/>
        </w:rPr>
        <w:t>E. 1</w:t>
      </w:r>
    </w:p>
    <w:p>
      <w:r>
        <w:t>Die Vorinstanz hat namentlich die Rechtsprechung zur selbstständigen Anfechtbarkeit des Invaliditätsgrades ( BGE 115 V 418 Erw. 3b/aa mit Hinweisen) sowie zum Erfordernis des schutzwürdigen Interesses an einer entsprechenden Feststellungsverfügung ( Art. 25 Abs. 2 VwVG ; vgl. auch BGE 126 II 303 Erw. 2c, 125 V 24 Erw. 1b, 121 V 317 Erw. 4a mit Hinweisen) zutreffend dargelegt. Es kann darauf verwiesen werden.</w:t>
      </w:r>
    </w:p>
    <w:p>
      <w:r>
        <w:rPr>
          <w:b/>
        </w:rPr>
        <w:t>E. 2</w:t>
      </w:r>
    </w:p>
    <w:p>
      <w:r>
        <w:t>a) Wie das kantonale Gericht insbesondere zu Recht ausführt, bildet bei einer Verfügung über Versicherungsleistungen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115 V 418 Erw. 3b/aa mit Hinweisen; vgl. auch BGE 113 V 159 , 110 V 52 oben, 109 V 60 Erw. 1; ZAK 1988 S. 42 Erw. 1b; RKUV 1987 Nr. K 727 S. 170 Erw. 1a). An dieser Rechtsprechung ist festzuhalten. b) Entgegen der Meinung des Rechtsvertreters der Beschwerdeführerin kann im erstinstanzlichen Beschwerdebegehren kein Antrag auf Abänderung des Dispositivs der hier zu beurteilenden Leistungsverfügung erblickt werden. Denn eine halbe Invalidenrente ist der Beschwerdeführerin am 24. März 2000 verfügungsweise bereits zugesprochen worden, und eine höhere Rente könnte ihr auch bei einem Invaliditätsgrad von rund 52 % oder 64 %, wie in der vorinstanzlichen Beschwerde geltend gemacht wurde, nicht ausgerichtet werden als die ab 1. Januar 1994 auf Grund einer Invalidität von 40 % gewährte halbe Härtefallrente ( Art. 28 Abs. 1 IVG ). Die von der Beschwerdeführerin verlangte Bemessung der Invalidität mit mehr als 40 % hätte daher keinen Einfluss auf das Dispositiv der angefochtenen Verfügung. Demzufolge bleibt nur zu prüfen, ob die Beschwerdeführerin im Sinne von Art. 25 Abs. 2 VwVG ein schutzwürdiges Interesse an der sofortigen Feststellung des behaupteten Invaliditätsgrades hat. c) Ein solches Interesse würde bestehen, wenn die Beschwerdeführerin die Voraussetzungen für den Härtefall in Kürze nicht mehr erfüllen oder wenn sie beabsichtigen würde, demnächst die Schweiz zu verlassen ( Art. 28 Abs. 1ter IVG ). Da indessen nach den zutreffenden Darlegungen der Vorinstanz keine dieser Möglichkeiten zur Zeit aktuell ist, muss ein schutzwürdiges Interesse am Erlass einer Feststellungsverfügung über den behaupteten Invaliditätsgrad verneint werden. Der vorinstanzliche Nichteintretensentscheid entspricht damit ständiger, von der Lehre anerkannter Rechtsprechung (vgl. Erw. 2a hievor sowie Gygi, Bundesverwaltungsrechtspflege, 2. Aufl. S. 154; Maurer, Schweizerisches Sozialversicherungsrecht, Bd. 1, S. 457), von welcher auch anhand der Einwendungen der Beschwerdeführerin nicht abzugehen ist. Es wird auf die Erwägungen des kantonalen Gerichts sowie auf die auch vorliegend geltenden Ausführungen in BGE 106 V 93 Erw. 2 verwiesen, denen das Eidgenössische Versicherungsgericht nichts beizufügen hat. Demnach erkennt das Eidg. Versicherungsgericht: I. Die Verwaltungsgerichtsbeschwerde wird abgewiesen. II. Die Gerichtskosten von Fr. 500.- werden der Beschwerdeführerin auferlegt und mit dem geleisteten Kostenvorschuss verrechnet. III. Dieses Urteil wird den Parteien, dem Verwaltungsgericht des Kantons Bern, Sozialversicherungsrechtliche Abteilung, der Ausgleichskasse des Kantons Bern und dem Bundesamt für Sozialversicherung zugestellt. Luzern, 24.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