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724/02 vom 10. Januar 2003</w:t>
      </w:r>
    </w:p>
    <w:p>
      <w:r>
        <w:t>Bundesgericht, 2003-01-10, FR</w:t>
      </w:r>
    </w:p>
    <w:p>
      <w:r>
        <w:rPr>
          <w:b/>
        </w:rPr>
        <w:t xml:space="preserve">Quelle: </w:t>
      </w:r>
      <w:r>
        <w:t>https://mcp.opencaselaw.ch/entscheid/bger_I_724_02</w:t>
      </w:r>
    </w:p>
    <w:p>
      <w:r>
        <w:t>FR: TF I 724/02 du 10 janvier 2003</w:t>
      </w:r>
    </w:p>
    <w:p>
      <w:r>
        <w:t>IT: TF I 724/02 del 10 gennaio 2003</w:t>
      </w:r>
    </w:p>
    <w:p>
      <w:pPr>
        <w:pStyle w:val="Heading2"/>
      </w:pPr>
      <w:r>
        <w:t>Regeste</w:t>
      </w:r>
    </w:p>
    <w:p>
      <w:r>
        <w:t>Assurance-invalidité</w:t>
      </w:r>
    </w:p>
    <w:p>
      <w:pPr>
        <w:pStyle w:val="Heading2"/>
      </w:pPr>
      <w:r>
        <w:t>Erwägungen</w:t>
      </w:r>
    </w:p>
    <w:p>
      <w:r>
        <w:rPr>
          <w:b/>
        </w:rPr>
        <w:t>E. 1</w:t>
      </w:r>
    </w:p>
    <w:p>
      <w:r>
        <w:t>Le litige porte sur le droit du recourant à une rente d'invalidité, plus particulièrement sur le taux d'invalidité présenté, compte tenu de son revenu d'invalide.</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l'assurance-invalidité. Le cas d'espèce reste toutefois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3.1</w:t>
      </w:r>
    </w:p>
    <w:p>
      <w:r>
        <w:t>Selon l' art. 28 al. 1 LAI (dans sa teneur jusqu'au 31 décembre 2002),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w:t>
      </w:r>
    </w:p>
    <w:p>
      <w:r>
        <w:rPr>
          <w:b/>
        </w:rPr>
        <w:t>E. 3.2</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dans sa teneur jusqu'au 31 décembre 2002).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w:t>
      </w:r>
    </w:p>
    <w:p>
      <w:r>
        <w:rPr>
          <w:b/>
        </w:rPr>
        <w:t>E. 4.1</w:t>
      </w:r>
    </w:p>
    <w:p>
      <w:r>
        <w:t>En l'espèce, la juridiction cantonale a calculé le degré d'invalidité du recourant sur la base d'un revenu sans invalidité de 48'750 fr. Le recourant ne conteste pas ce montant.</w:t>
      </w:r>
    </w:p>
    <w:p>
      <w:r>
        <w:rPr>
          <w:b/>
        </w:rPr>
        <w:t>E. 4.2</w:t>
      </w:r>
    </w:p>
    <w:p>
      <w:r>
        <w:t>En ce qui concerne le revenu d'invalide, compte tenu d'une capacité de travail de 60 % dans une activité adaptée, les premiers juges ont retenu un revenu d'invalide de 25'751 fr.; ils se sont référés au salaire auquel peuvent prétendre les hommes effectuant des activités simples et répétitives dans le secteur privé, à savoir 4'268 fr. par mois [ESS 1998, TA 1, p. 25 niveau de qualification 4], soit un revenu annuel de 53'648 fr. compte tenu de l'horaire habituel de 41,8 heures dans les entreprises en 2000 et ont admis l'abattement de 20 % retenu par l'administration sur cette valeur statistique [(53'648 x 60 % = 32'188) - (32'189 x 20 % = 6'437) = 25'751]. Selon le recourant, le taux de déduction globale à opérer sur le salaire statistique n'est pas de 20 mais de 25 % et le revenu d'invalide déterminant s'élève à 24'141 fr. 60 (32'188 fr. 80 - [25 % de 32'188 fr. 80]).</w:t>
      </w:r>
    </w:p>
    <w:p>
      <w:r>
        <w:rPr>
          <w:b/>
        </w:rPr>
        <w:t>E. 4.2.1</w:t>
      </w:r>
    </w:p>
    <w:p>
      <w:r>
        <w:t>Selon la jurisprudence, le revenu d'invalide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(cf. RCC 1991 p. 332 sv. consid. 3; Omlin, Die Invalidität in der obligatorischen Unfallversicherung, thèse Fribourg 1995, p. 215).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 ATF 126 V 75 ss).</w:t>
      </w:r>
    </w:p>
    <w:p>
      <w:r>
        <w:rPr>
          <w:b/>
        </w:rPr>
        <w:t>E. 4.2.2</w:t>
      </w:r>
    </w:p>
    <w:p>
      <w:r>
        <w:t>En l'occurrence, l'administration a considéré qu'une réduction de 20 % sur le salaire statistique était adaptée au cas d'espèce, motif pris que les activités légères et les emplois à temps partiels sont, en règle générale, moins bien rémunérés. Selon le recourant, d'autres facteurs de réduction liés à sa nationalité étrangère, ses connaissances scolaires et linguistiques rudimentaires ainsi que sa faible productivité fondent une réduction salariale supplémentaire de 5 %, d'où une déduction totale de 25 %. Le point de vue de ce dernier est mal fondé. En effet, les affections physiques et psychiques de l'intéressé et le fait qu'il ne pourra plus effectuer de travaux lourds ont été pris en compte lors de l'évaluation de sa capacité résiduelle de travail dans une activité professionnelle adaptée à sa santé, soit une activité industrielle légère exercée à 60 %. Ce faisant, les facultés réduites de rendement ont été prises en considération lors de l'appréciation de la capacité résiduelle de travail et ne sauraient l'être une seconde fois, dans le cadre de l'évaluation du revenu d'invalide, en tant que facteur de réduction du salaire statistique. Par ailleurs, les prestations de l'assurance-invalidité compensent l'incapacité de gain résultant d'une atteinte à la santé des assurés et ne sauraient servir à combler les éventuelles lacunes scolaires ou linguistiques des intéressés. Au demeurant, ces éléments n'ont pas empêché le recourant d'exercer à satisfaction une activité professionnelle en Suisse pendant plus de dix ans. Enfin, outre le fait que la nationalité étrangère et la catégorie d'autorisation de séjour ne constituent pas systématiquement des motifs de réduction ( ATF 126 V 79 consid. 5a/cc), il n'est pas établi que c'est en raison de ces motifs, qu'avant l'atteinte à sa santé, l'assuré a perçu, comme il le prétend, un revenu inférieur à la moyenne. Au demeurant, il n'appartient pas non plus à l'assurance-invalidité de prendre en charge de tels désavantages. Vu ce qui précède, et étant entendu qu'il n'est pas justifié de quantifier séparément chacun des facteurs de réduction entrant en ligne de compte et de les additionner, force est de constater qu'il n'existe pas de motif pertinent permettant au juge de substituer son appréciation à celle de l'administration. Par conséquent, l'appréciation globale - au demeurant bienveillante - de l'administration concernant la réduction à opérer en l'espèce ne prête pas flanc à la critique.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