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723/99 vom 2. August 2000</w:t>
      </w:r>
    </w:p>
    <w:p>
      <w:r>
        <w:t>Bundesgericht, 2000-08-02, FR</w:t>
      </w:r>
    </w:p>
    <w:p>
      <w:r>
        <w:rPr>
          <w:b/>
        </w:rPr>
        <w:t xml:space="preserve">Quelle: </w:t>
      </w:r>
      <w:r>
        <w:t>https://mcp.opencaselaw.ch/entscheid/bger_I_723_99</w:t>
      </w:r>
    </w:p>
    <w:p>
      <w:r>
        <w:t>FR: TF I 723/99 du 2 août 2000</w:t>
      </w:r>
    </w:p>
    <w:p>
      <w:r>
        <w:t>IT: TF I 723/99 del 2 agosto 2000</w:t>
      </w:r>
    </w:p>
    <w:p>
      <w:pPr>
        <w:pStyle w:val="Heading2"/>
      </w:pPr>
      <w:r>
        <w:t>Regeste</w:t>
      </w:r>
    </w:p>
    <w:p>
      <w:r>
        <w:t>Assurance-invalidité</w:t>
      </w:r>
    </w:p>
    <w:p>
      <w:pPr>
        <w:pStyle w:val="Heading2"/>
      </w:pPr>
      <w:r>
        <w:t>Erwägungen</w:t>
      </w:r>
    </w:p>
    <w:p>
      <w:r>
        <w:rPr>
          <w:b/>
        </w:rPr>
        <w:t>E. 1</w:t>
      </w:r>
    </w:p>
    <w:p>
      <w:r>
        <w:t>En vertu de l' art. 41 LAI , si l'invalidité d'un bénéficiaire de rente se modifie de manière à influencer le droit à la rente, celle-ci est, pour l'avenir, augmentée, réduite ou supprimée. Selon la jurisprudence, la rente peut être révisée non seulement en cas de modification sensible de l'état de santé, mais aussi lorsque celui-ci est resté en soi le même, mais que ses conséquences sur la capacité de gain ont subi un changement important ( ATF 113 V 275 consid. 1a et les arrêts cités; voir également ATF 120 V 131 consid. 3b et 119 V 478 consid. 1b/aa).</w:t>
      </w:r>
    </w:p>
    <w:p>
      <w:r>
        <w:rPr>
          <w:b/>
        </w:rPr>
        <w:t>E. 2</w:t>
      </w:r>
    </w:p>
    <w:p>
      <w:r>
        <w:t>Il est établi que, par rapport à l'état hyperalgique et à la polysymptomatologie caractérisant la situation du recourant lors des décisions initiales de rente, son état de santé s'est très nettement amélioré. En effet, cette amélioration, mise en évidence par le docteur F.________ dans son appréciation du 4 novembre 1998, est confirmée par le docteur B.________ dans son expertise du 16 décembre 1998. Il en ressort notamment qu'en ce qui concerne le status de l'assuré après whiplash injury du 15 avril 1977, il y a eu guérison, en l'absence de séquelles fonctionnelles. En outre, s'agissant des lombalgies chroniques et des tendinopathies des membres supérieurs, elles sont aujourd'hui guéries. Devant la Cour de céans, le recourant ne conteste pas qu'il y a eu modification sensible de son état de santé. En revanche, il remet en cause toute amélioration de sa capacité de gain. D'une part, en effet, il reproche à l'intimé de n'avoir pas examiné au préalable la question des mesures de réadaptation qui étaient indiquées dans son cas, question qui se posait nécessairement, compte tenu du fait qu'il n'a plus exercé son activité professionnelle pendant près de vingt ans. D'autre part, il aurait fallu tenir compte de la perte d'expérience pratique qui en découle, en appliquant la méthode générale de comparaison des revenus.</w:t>
      </w:r>
    </w:p>
    <w:p>
      <w:r>
        <w:rPr>
          <w:b/>
        </w:rPr>
        <w:t>E. 3</w:t>
      </w:r>
    </w:p>
    <w:p>
      <w:r>
        <w:t>a) Selon la jurisprudence, en cas de modification sensible de l'état de santé, la rente d'invalidité ne peut en principe être réduite ou supprimée selon l' art. 41 LAI que lorsque son bénéficiaire est suffisamment réadapté (RCC 1980 p. 482 consid. 2 et la référence; voir aussi le commentaire de cet arrêt par l'OFAS in RCC 1980 p. 455 sv.). Fonjallaz (Invalidité et Révision des rentes d'invalidité [Etude de la législation sociale suisse], thèse Lausanne 1985, p. 72 et la note no 211) en conclut que les organes de l'assurance-invalidité doivent se demander lors de chaque révision si des mesures de réadaptation sont nécessaires et, le cas échéant, les ordonner. b) Toutefois, la jurisprudence précitée ne signifie pas que le recourant, bien que son état de santé se soit amélioré de manière sensible, continue d'avoir droit à une rente entière d'invalidité tant qu'il n'a pas bénéficié de mesures de réadaptation. Au contraire, il lui appartient de se réadapter par lui-même ( ATF 113 V 28 consid. 4a et les références; RCC 1989 p. 331 consid. 4a). Or, selon le docteur B.________, rien ne s'oppose à ce qu'il reprenne une activité professionnelle telle qu'il l'exerçait déjà et pour laquelle les deux experts de l'époque l'avaient jugé apte, soit en tant que grutier ou manutentionnaire. Les restrictions émises à l'époque quant au port de charges n'apparaissent plus de mise aujourd'hui, l'état de son dos pouvant être qualifié de normal et n'ayant amorcé aucune usure arthrosique à ce jour (expertise du 16 décembre 1998). Le recourant étant apte à reprendre son ancienne activité de grutier et de manoeuvre de chantier, on peut donc raisonnablement attendre de lui qu'il mette à profit sa capacité entière de travail dans cette activité. Il est ainsi en mesure, même sans réadaptation, de réaliser un revenu qui exclut une invalidité donnant droit à la rente, raison pour laquelle son droit à une rente entière a été supprimé. Que près de vingt ans se soient écoulés depuis l'octroi initial de la rente d'invalidité, avec la perte d'expérience pratique que cela peut comporter, n'y change rien. Le recours est mal fondé.</w:t>
      </w:r>
    </w:p>
    <w:p>
      <w:r>
        <w:rPr>
          <w:b/>
        </w:rPr>
        <w:t>E. 4</w:t>
      </w:r>
    </w:p>
    <w:p>
      <w:r>
        <w:t>Le recourant,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