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I_711/2005 vom 10. März 2006</w:t>
      </w:r>
    </w:p>
    <w:p>
      <w:r>
        <w:t>Bundesgericht, 2006-03-10, DE</w:t>
      </w:r>
    </w:p>
    <w:p>
      <w:r>
        <w:rPr>
          <w:b/>
        </w:rPr>
        <w:t xml:space="preserve">Quelle: </w:t>
      </w:r>
      <w:r>
        <w:t>https://mcp.opencaselaw.ch/entscheid/bger_I_711_2005</w:t>
      </w:r>
    </w:p>
    <w:p>
      <w:r>
        <w:t>FR: TF I_711/2005 du 10 mars 2006</w:t>
      </w:r>
    </w:p>
    <w:p>
      <w:r>
        <w:t>IT: TF I_711/2005 del 10 marzo 2006</w:t>
      </w:r>
    </w:p>
    <w:p>
      <w:pPr>
        <w:pStyle w:val="Heading2"/>
      </w:pPr>
      <w:r>
        <w:t>Erwägungen</w:t>
      </w:r>
    </w:p>
    <w:p>
      <w:r>
        <w:rPr>
          <w:b/>
        </w:rPr>
        <w:t>E. 1.1</w:t>
      </w:r>
    </w:p>
    <w:p>
      <w:r>
        <w:t>Streitig und zu prüfen ist, ob der Beschwerdegegnerin auf Grund des Sachverhaltes, wie er sich bis zum Erlass des - rechtsprechungsgemäss die zeitliche Grenze der gerichtlichen Überprüfungsbefugnis bildenden ( BGE 130 V 446 Erw. 1.2 mit Hinweisen) - Einspracheentscheides vom 25. Januar 2005 entwickelt hat, Rentenleistungen zustehen. Das Rentengesuch der Versicherten ist am 25. April 2002 bei der Behörde eingegangen, sodass der Rentenbeginn - in Anbetracht einer seit Mitte Dezember 1999 bestehenden Arbeitsunfähigkeit - nach Massgabe von Art. 48 Abs. 2 Satz 1 IVG (sowohl in der bis 31. Dezember 2002 gültig gewesenen wie auch in der seit 1. Januar 2003 geltenden Fassung), wonach Leistungen grundsätzlich lediglich für die zwölf der Anmeldung vorangehenden Monate ausgerichtet werden, gemäss Art. 29 Abs. 1 lit. b und Abs. 2 IVG frühestens auf den 1. April 2001 fallen könnte. Für den Tatbestand des Art. 48 Abs. 2 Satz 2 IVG liegen keine Anhaltspunkte vor.</w:t>
      </w:r>
    </w:p>
    <w:p>
      <w:r>
        <w:rPr>
          <w:b/>
        </w:rPr>
        <w:t>E. 1.2</w:t>
      </w:r>
    </w:p>
    <w:p>
      <w:r>
        <w:t>Da folglich keine laufenden Leistungen im Sinne der übergangsrechtlichen Ausnahmebestimmung des Art. 82 Abs. 1 des auf den 1. Januar 2003 in Kraft getretenen ATSG, sondern Dauerleistungen im Streit stehen, über welche noch nicht rechtskräftig verfügt worden ist, beurteilt sich der Streit - den allgemeinen intertemporalrechtlichen Regeln folgend - für die Zeit bis 31. Dezember 2002 auf Grund der bisherigen Rechtslage und ab diesem Zeitpunkt nach den neuen Normen des ATSG und dessen Ausführungsverordnungen ( BGE 130 V 445 ). Ebenfalls Anwendung finden, wie das kantonale Gericht zutreffend festgestellt hat, die seit 1. Januar 2004 geltenden Änderungen des IVG vom 21. März 2003 (vgl. insbesondere auch die Schluss- und Übergangsbestimmungen lit. d-f) und der IVV vom 21. Mai 2003 (4. IV-Revision) sowie die damit einhergehenden Anpassungen des ATSG.</w:t>
      </w:r>
    </w:p>
    <w:p>
      <w:r>
        <w:rPr>
          <w:b/>
        </w:rPr>
        <w:t>E. 2.1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2.2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Nicht von einer Änderung betroffen sind sodann die für die Festsetzung der Invalidität von Nichterwerbstätigen im Sinne von Art. 5 Abs. 1 IVG in Verbindung mit Art. 8 Abs. 3 ATSG (je in der vom 1. Januar bis 31. Dezember 2003 in Kraft gestandenen Fassung), namentlich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Urteil E. vom 13. Dezember 2005, I 156/04, Erw. 5.3 in fine, je mit Hinweisen [vgl. auch Erw. 4.2 hiernach]: gemischte Methode; zum Ganzen: Urteil M. vom 28. Februar 2005, I 380/04, Erw. 3.1 und 3.2, je mit Hinweisen).</w:t>
      </w:r>
    </w:p>
    <w:p>
      <w:r>
        <w:rPr>
          <w:b/>
        </w:rPr>
        <w:t>E. 3</w:t>
      </w:r>
    </w:p>
    <w:p>
      <w:r>
        <w:t>Unbestritten ist, dass die Beschwerdegegnerin, welche - mit Einfluss auf die Leistungsfähigkeit - an einer undifferenzierten Somatisierungsstörung (ICD-10: F 45.1) bei Angst- und depressiver Störung, gemischt (ICD-10: F 41.2), leidet, ohne gesundheitliche Beeinträchtigungen zu je 50 % erwerbstätig und im Haushalt beschäftigt wäre. Ebenfalls zu keinen Beanstandungen geführt hat ferner die - gestützt auf das MEDAS-Gutachten vom 7. Juli 2003 (samt ergänzenden Stellungnahmen vom 12. und 23. November 2004) - auf 50 % geschätzte Arbeitsfähigkeit in einer leidensangepassten Tätigkeit (keine repetitiven Bewegungen, kein Tragen von schweren Lasten, keine Haltefunktionen mit grossem Kraftaufwand und keine stehende Beschäftigung über einen längeren Zeitraum) sowie die sich gemäss Abklärungsbericht Haushalt vom 30. April 2004 auf 36 % belaufende invaliditätsbedingte Einschränkung in den häuslichen Verrichtungen. Es besteht weder im Lichte der Akten noch der Vorbringen der Verfahrensbeteiligten Anlass zu einer näheren Prüfung dieser Bemessungsfaktoren ( BGE 125 V 417 oben), sodass die Invaliditätsbemessung nach der gemischten Methode zu erfolgen hat.</w:t>
      </w:r>
    </w:p>
    <w:p>
      <w:r>
        <w:rPr>
          <w:b/>
        </w:rPr>
        <w:t>E. 4.1</w:t>
      </w:r>
    </w:p>
    <w:p>
      <w:r>
        <w:t>Zur Bestimmung der erwerblichen Auswirkungen der festgestellten Arbeitsunfähigkeit hat das kantonale Gericht dem Einkommensvergleich ein - gestützt auf statistische Lohnangaben ermitteltes - Valideneinkommen auf der Basis eines 100 %-Pensums zu Grunde gelegt, ohne dieses mit dem Faktor 0,5 (= Anteil der Erwerbstätigkeit im Gesundheitsfall von 50 %; vgl. Erw. 3 hievor) zu multiplizieren.</w:t>
      </w:r>
    </w:p>
    <w:p>
      <w:r>
        <w:rPr>
          <w:b/>
        </w:rPr>
        <w:t>E. 4.2</w:t>
      </w:r>
    </w:p>
    <w:p>
      <w:r>
        <w:t>Diese in Bezug auf die Bemessung der Invalidität im erwerblichen Bereich modifizierte Anwendung der gemischten Methode widerspricht Gesetz und Rechtsprechung, wie das Eidgenössische Versicherungsgericht in BGE 125 V 146 und weiteren seither ergangenen Urteilen festgestellt hat. Danach sind die Vergleichsgrössen Validen- und Invalideneinkommen im zeitlichen Rahmen der ohne Gesundheitsschaden (voraussichtlich dauernd) ausgeübten Teilerwerbstätigkeit zu bestimmen ( BGE 131 V 52 f. Erw. 5.1.1, 125 V 149 Erw. 2b mit Hinweisen). Die Vorinstanz führt zur Begründung ihrer von der geltenden Gerichts- und Verwaltungspraxis abweichenden Berechnungsweise einmal mehr an, diese nehme auf die Realität in der Arbeitslastaufteilung keine Rücksicht.</w:t>
      </w:r>
    </w:p>
    <w:p>
      <w:r>
        <w:rPr>
          <w:b/>
        </w:rPr>
        <w:t>E. 4.2.1</w:t>
      </w:r>
    </w:p>
    <w:p>
      <w:r>
        <w:t>In einem neuesten Urteil E. vom 13. Dezember 2005, I 156/04, (u.a. bereits wieder bestätigt in den Urteilen J. vom 20. Januar 2006, I 725/04, und W. vom 6. Januar 2006, I 753/03) hat das Eidgenössische Versicherungsgericht an seiner Rechtsprechung gemäss BGE 125 V 146 erneut ausdrücklich festgehalten. In Erw. 5 des Urteils wurde insbesondere Folgendes erwogen:</w:t>
      </w:r>
    </w:p>
    <w:p>
      <w:r>
        <w:t>"5.1.2 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einhalb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w:t>
      </w:r>
    </w:p>
    <w:p>
      <w:r>
        <w:t>5.2 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w:t>
      </w:r>
    </w:p>
    <w:p>
      <w:r>
        <w:t>5.3 Kein Anlass für eine Praxisänderung im Sinne der Vorinstanz (...) bildet schliesslich die am 6. Oktober 2000 eingereichte parlamentarische Initiative zur «Bemessung des Invaliditätsgrades bei Teilzeiterwerbstätigen». Der Initiant (alt Nationalrat Marc F. Suter) und die Mitunterzeichner verlangen, dass im Gesetz eine Bestimmung eingefügt wird mit folgendem provisorischem Wortlaut: «War die oder der Versicherte vor Eintritt der Invalidität nur zum Teil erwerbstätig, wird die Invalidität im Bereich der Erwerbstätigkeit wie auch im Aufgabenbereich nach Art. 5 Abs. 1 IVG je bezogen auf eine Vollzeittätigkeit ermittelt». Die Initiative war kein Diskussionspunkt der am 1. Januar 2004 in Kraft getretenen 4. IV-Revision. Das erstaunt insofern, als im Rahmen dieser Änderung die gemischte Methode der Invaliditätsbemessung auf Gesetzesstufe verankert worden ist (vgl. Art. 28 Abs. 2bis und 2ter IVG ). Die Neuerung ist indessen rein formeller Natur. Sie hat an der geltenden Regelung nichts geändert (Botschaft vom 21. Februar 2001 über die vierte Revision des Bundesgesetzes über die Invalidenversicherung [BBl 2001 3205 ff.] S. 3287; BGE 130 V 393 ). Am 3. Oktober 2003 hat der Nationalrat der Initiative Suter auf Vorschlag seiner Kommission für Soziale Sicherheit und Gesundheit Folge gegeben (Amtl. Bull. 2003 N Beilagen 34 ff.). Sie wird in der Botschaft vom 22. Juni 2005 zur Änderung des Bundesgesetzes über die Invalidenversicherung (5. Revision; BBl 2005 4459 ff.) allerdings nicht erwähnt."</w:t>
      </w:r>
    </w:p>
    <w:p>
      <w:r>
        <w:rPr>
          <w:b/>
        </w:rPr>
        <w:t>E. 4.2.2</w:t>
      </w:r>
    </w:p>
    <w:p>
      <w:r>
        <w:t>Aus dem vorinstanzlichen Entscheid ergeben sich keine neuen Gesichtspunkte, welche eine Praxisänderung (vgl. dazu BGE 131 V 110 Erw. 3.1 mit Hinweisen) im vom kantonalen Gericht befürworteten Sinne rechtfertigten. Das Eidgenössische Versicherungsgericht hat zu dessen Kritikpunkten bereits in BGE 125 V 146 und - wie zuvor dargelegt - im Urteil E. vom 13. Dezember 2005, I 156/04, ausführlich Stellung genommen, weshalb sich Weiterungen erübrigen. Das unbestrittenermassen gestützt auf die Schweizerische Lohnstrukturerhebung (LSE) zu ermittelnde Valideneinkommen - die Beschwerdegegnerin war lediglich während des Jahres 2000 kurzzeitig als Küchenhilfe in einem Restaurant erwerbstätig - beträgt daher für das massgebliche Vergleichsjahr des potenziellen Rentenbeginns (2001 [vgl. Erw. 1.1 in fine hievor]; BGE 129 V 222 ) Fr. 23'430.- (Fr. 3658.- [LSE 2000, S. 31, Tabelle TA1, Anforderungsniveau 4, Frauen] x 12, in Berücksichtigung der Nominallohnerhöhung 2001 [2,4 %; Die Volkswirtschaft, 1/2 2006, S. 95, Tabelle B10.3, Nominal total, Frauen], aufgerechnet auf die durchschnittliche wöchentliche Arbeitszeit im Jahr 2001 [41,7 Stunden; Die Volkswirtschaft, a.a.O., S. 96, Tabelle B9.2, Total], 50 %-Pensum).</w:t>
      </w:r>
    </w:p>
    <w:p>
      <w:r>
        <w:rPr>
          <w:b/>
        </w:rPr>
        <w:t>E. 4.3</w:t>
      </w:r>
    </w:p>
    <w:p>
      <w:r>
        <w:t>Vor dem Hintergrund, dass die Beschwerdegegnerin seit Ende 2000 keiner Erwerbstätigkeit mehr nachgeht, ist auch zur Bestimmung des Invalideneinkommens auf die LSE 2000 abzustellen ( BGE 129 V 475 Erw. 4.2.1 mit Hinweisen). Ausgehend von einem um 50 % eingeschränkten Leistungsvermögen (vgl. Erw. 3 hievor) sowie einem - durch das kantonale Gericht vorgenommenen, den konkreten Verhältnissen angemessen Rechnung tragenden - leidensbedingten Abzug in Höhe von 10 % (vgl. dazu BGE 126 V 78 ff. Erw. 5 und AHI 2002 S. 62 ff. [Urteil D. vom 27. November 2001, I 82/01]) resultiert daraus ein Invalideneinkommen für das Jahr 2001 von Fr. 21'087.-.</w:t>
      </w:r>
    </w:p>
    <w:p>
      <w:r>
        <w:t>Die Gegenüberstellung von Validen- (Fr. 23'430.-) und Invalideneinkommen (Fr. 21'087.-) ergibt einen Invaliditätsgrad im Erwerbsanteil von 10 %.</w:t>
      </w:r>
    </w:p>
    <w:p>
      <w:r>
        <w:rPr>
          <w:b/>
        </w:rPr>
        <w:t>E. 4.4</w:t>
      </w:r>
    </w:p>
    <w:p>
      <w:r>
        <w:t>Die Invalidität beläuft sich - gewichtet - somit auf rentenausschliessende 23 % (0,5 x 10 % + 0,5 x 36 %). Selbst wenn im Übrigen Hinweise für noch nicht berücksichtigte Wechselwirkungen im Sinnes einer allfällig verminderten Leistungsfähigkeit im Erwerbsbereich infolge der Beanspruchung im Haushalt und umgekehrt bestünden (vgl. Urteile J. vom 20. Januar 2006, I 725/04, Erw. 3.2, W. vom 6. Januar 2006, I 753/03, Erw. 7.2, und E. vom 13. Dezember 2005, I 156/04, Erw. 6.2), begründete dieser Umstand noch keinen Rentenanspruch. Erforderlich wäre diesfalls nämlich entweder eine allein auf die Besorgung des Haushalts zurückzuführende Einschränkung im erwerblichen Tätigkeitsfeld von beinahe 20 %, d.h. eine Arbeitsunfähigkeit von insgesamt fast 70 %, oder aber eine - durch die Belastung in der Erwerbstätigkeit hervorgerufene, nicht durch im Rahmen der Schadenminderungspflicht zumutbare Vorkehren vermeidbare (vgl. Meyer-Blaser, Rechtsprechung des Bundesgerichts zum IVG, Zürich 1997, S. 222 f. mit Hinweisen) - zusätzliche Leistungsverminderung im häuslichen Aufgabenbereich von knapp 34 %, wofür sich den Akten indessen keine Anhaltspunkte entnehmen lassen.</w:t>
      </w:r>
    </w:p>
    <w:p>
      <w:r>
        <w:t>Der Einspracheentscheid der IV-Stelle vom 25. Januar 2005 ist daher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