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I_708/2006 vom 23. November 2006</w:t>
      </w:r>
    </w:p>
    <w:p>
      <w:r>
        <w:t>Bundesgericht, 2006-11-23, DE</w:t>
      </w:r>
    </w:p>
    <w:p>
      <w:r>
        <w:rPr>
          <w:b/>
        </w:rPr>
        <w:t xml:space="preserve">Quelle: </w:t>
      </w:r>
      <w:r>
        <w:t>https://mcp.opencaselaw.ch/entscheid/bger_I_708_2006</w:t>
      </w:r>
    </w:p>
    <w:p>
      <w:r>
        <w:t>FR: TF I_708/2006 du 23 novembre 2006</w:t>
      </w:r>
    </w:p>
    <w:p>
      <w:r>
        <w:t>IT: TF I_708/2006 del 23 novembre 2006</w:t>
      </w:r>
    </w:p>
    <w:p>
      <w:pPr>
        <w:pStyle w:val="Heading2"/>
      </w:pPr>
      <w:r>
        <w:t>Erwägungen</w:t>
      </w:r>
    </w:p>
    <w:p>
      <w:r>
        <w:rPr>
          <w:b/>
        </w:rPr>
        <w:t>E. 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w:t>
      </w:r>
    </w:p>
    <w:p>
      <w:r>
        <w:t>Die Vorinstanz hat die hier massgebenden gesetzlichen Bestimmungen und von der Rechtsprechung entwickelten Grundsätze richtig dargelegt. Es betrifft dies namentlich diejenigen über den Umfang des Rentenanspruchs ( Art. 28 Abs. 1 IVG ) und über die verschiedenen Invaliditätsbemessungsmethoden, bei Erwerbstätigen nach der allgemeinen Methode des Einkommensvergleichs ( Art. 28 Abs. 2 IVG in Verbindung mit Art. 16 ATSG ; vgl. auch BGE 130 V 348 Erw. 3.4 mit Hinweisen), bei nichterwerbstätigen, insbesondere im Haushalt beschäftigten Versicherten nach der spezifischen Methode des Betätigungsvergleichs ( Art. 28 Abs. 2bis IVG in Verbindung mit Art. 27 IVV ; vgl. auch BGE 130 V 99 Erw. 3.3.1) sowie bei teilerwerbstätigen Versicherten nach der gemischten Methode ( Art. 28 Abs. 2ter IVG in Verbindung mit Art. 27bis IVV ; vgl. auch BGE 130 V 393 , 125 V 146). Darauf wird verwiesen.</w:t>
      </w:r>
    </w:p>
    <w:p>
      <w:r>
        <w:rPr>
          <w:b/>
        </w:rPr>
        <w:t>E. 3</w:t>
      </w:r>
    </w:p>
    <w:p>
      <w:r>
        <w:t>Streitig und zu prüfen ist zunächst, in welchem Ausmass die Beschwerdeführerin ohne gesundheitliche Beeinträchtigung erwerbstätig wäre. Während die Vorinstanz und die IV-Stelle von einer Quote von 50 % ausgehen, vertritt die Beschwerdeführerin die Auffassung, sie wäre ohne gesundheitliche Beeinträchtigung in den ersten fünf Monaten nach der Geburt ihres Sohnes einer Teilzeitbeschäftigung im Umfang von 50 % und ab dem sechsten Monat einer Vollzeitbeschäftigung nachgegangen.</w:t>
      </w:r>
    </w:p>
    <w:p>
      <w:r>
        <w:rPr>
          <w:b/>
        </w:rPr>
        <w:t>E. 3.1</w:t>
      </w:r>
    </w:p>
    <w:p>
      <w:r>
        <w:t>Die Frage, in welchem Ausmass die versicherte Person ohne gesundheitliche Beeinträchtigung erwerbstätig wäre, ist mit Rücksicht auf die gesamten Umstände, so die persönlichen, familiären, sozialen und erwerblichen Verhältnisse, zu beantworten ( BGE 130 V 396 Erw. 3.3, 125 V 150 Erw.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insoweit als sie auf Beweiswürdigung beruht, selbst wenn darin auch Schlussfolgerungen aus der allgemeinen Lebenserfahrung mitberücksichtigt werden ( BGE 115 II 448 Erw. 5b; nicht veröffentlichtes Urteil des Bundesgerichts in Sachen M. AG in Nachlassliquidation gegen S. vom 21. Mai 1991, 4C.213/1990, Erw. 3b). Ebenso sind Feststellungen über innere oder psychische Tatsachen Tatfragen, wie beispielsweise was jemand wollte oder wusste ( BGE 130 IV 62 Erw. 8.5, 125 III 436 Erw. 2a/aa, 124 III 184 oben; Fabienne Hohl, Procédure civile, Band II, Bern 2002, S. 295 Rz 3219). Rechtsfragen sind hingegen Folgerungen, die ausschliesslich - losgelöst vom konkreten Sachverhalt - auf die allgemeine Lebenserfahrung gestützt werden (zur Publikation in BGE 132 V bestimmtes Urteil B. vom 28. September 2006, I 618/06, Erw. 3.3; nicht veröffentlichtes Urteil des Bundesgerichts in Sachen M. AG in Liquidation gegen S. vom 21. Mai 1991, 4C.213/1990, Erw. 3b; Peter Münch in: Geiser/Münch [Hrsg.], Prozessieren vor Bundesgericht, 2. Aufl., Basel 1998, S. 135 f. Rz 4.43; Hohl, a.a.O., S. 297 Rz 3227), oder die Frage, ob aus festgestellten Indizien mit Recht auf bestimmte Rechtsfolgen geschlossen worden ist (z.B. auf Rechtsmissbrauch, vgl. Urteil des Bundesgerichts in Sachen S. gegen Regierungsrat und Verwaltungsgericht des Kantons Zürich vom 31. Januar 2000, 2A.545/1999, Erw. 2b).</w:t>
      </w:r>
    </w:p>
    <w:p>
      <w:r>
        <w:rPr>
          <w:b/>
        </w:rPr>
        <w:t>E. 3.2</w:t>
      </w:r>
    </w:p>
    <w:p>
      <w:r>
        <w:t>Nach diesen Grundsätzen ist die auf eine Würdigung konkreter Umstände gestützte Festsetzung des hypothetischen Umfanges der Erwerbstätigkeit eine Tatfrage, welche das Eidgenössische Versicherungsgericht nur in den genannten Schranken (Erw. 1 hiervor) überprüft. Eine Rechtsfrage läge hingegen vor, wenn die Vorinstanz ihre Folgerung, die Beschwerdeführerin wäre im Gesundheitsfall nur noch zu 50 % erwerbstätig gewesen, ausschliesslich auf die allgemeine Lebenserfahrung gestützt hätte. Dies ist jedoch nicht der Fall: Das kantonale Gericht hat auf die konkreten Umstände abgestellt, weshalb die Kritik der Beschwerdeführerin, heute könne man nicht mehr von einem familienzyklischen Verlauf der Frauenerwerbsquote ausgehen, ins Leere zielt.</w:t>
      </w:r>
    </w:p>
    <w:p>
      <w:r>
        <w:rPr>
          <w:b/>
        </w:rPr>
        <w:t>E. 3.3</w:t>
      </w:r>
    </w:p>
    <w:p>
      <w:r>
        <w:t>Die vorinstanzliche Bestimmung des hypothetischen Erwerbsanteils (50 %) kann weder als offensichtlich unrichtig noch als unvollständig betrachtet werden. Das kantonale Gericht stützte sich dabei nicht bloss auf die ursprüngliche Angabe der Beschwerdeführerin im Rahmen der Haushaltsabklärung vom Mai 2003 (Bericht vom 27. Mai 2003), welche in der Verwaltungsgerichtsbeschwerde in Frage gestellt wird, sondern auch auf andere Elemente, namentlich die Tatsache, dass die Beschwerdeführerin bisher nach der Geburt ihres Sohnes gar keine Erwerbstätigkeit mehr aufgenommen hat, obwohl ihr eine solche in reduziertem Ausmass (vgl. Erw. 4) aus gesundheitlichen Gründen zumutbar wäre.</w:t>
      </w:r>
    </w:p>
    <w:p>
      <w:r>
        <w:rPr>
          <w:b/>
        </w:rPr>
        <w:t>E. 4</w:t>
      </w:r>
    </w:p>
    <w:p>
      <w:r>
        <w:t>Umstritten ist sodann der Invaliditätsgrad im erwerblichen Bereich.</w:t>
      </w:r>
    </w:p>
    <w:p>
      <w:r>
        <w:rPr>
          <w:b/>
        </w:rPr>
        <w:t>E. 4.1</w:t>
      </w:r>
    </w:p>
    <w:p>
      <w:r>
        <w:t>Die auf ärztliche Beurteilungen gestützte Feststellung eines Gesundheitsschadens betrifft eine Tatfrage, ebenso die ärztliche Beurteilung der - durch die festgestellten Gesundheitsschädigungen kausal verursachten - Arbeitsunfähigkeit bzw. des in Anbetracht der festgestellten (diagnostizierten) gesundheitlichen Beeinträchtigungen noch vorhandenen funktionellen Leistungsvermögens. In diesem Sinne ist die aufgrund von (medizinischen) Untersuchungen gerichtlich festgestellte Arbeits(un)fähigkeit Entscheidung über eine Tatfrage. Als solche erfasst sie auch den in die gesetzliche Begriffsumschreibung der Arbeitsunfähigkeit nach Art. 16 ATSG integrierten Aspekt der zumutbaren Arbeit; denn in dem Umfange, wie eine versicherte Person von ihrem funktionellen Leistungsvermögen her eine (Rest-) Arbeitsfähigkeit aufweist, ist ihr die Ausübung entsprechend profilierter Tätigkeiten zumutbar,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(zur Publikation in BGE 132 V bestimmtes Urteil B. vom 28. September 2006, I 618/06, Erw. 3.3).</w:t>
      </w:r>
    </w:p>
    <w:p>
      <w:r>
        <w:rPr>
          <w:b/>
        </w:rPr>
        <w:t>E. 4.2</w:t>
      </w:r>
    </w:p>
    <w:p>
      <w:r>
        <w:t>Gemäss Bericht des Dr. med. T.________, Neurologie FMH, vom 18. August 2005 wäre der Versicherten eine Erwerbstätigkeit halbtags zumutbar, "bei leicht reduzierter Leistung um ca. 25-35 % (generelle Verlangsamung)". Gestützt auf diese Angabe ging die IV-Stelle in ihrer Verfügung vom 9. August 2004 von einer Einschränkung um 30 % (d.h. gewichteter erwerblicher Teilinvaliditätsgrad: 15 %) und in ihrem Einspracheentscheid vom 16. Dezember 2005 von einer Einschränkung von maximal 35 % (d.h. gewichteter erwerblicher Teilinvaliditätsgrad: 17,5 %) aus. Im angefochtenen Entscheid vertritt das kantonale Gericht die Auffassung, es könne nicht vom Maximalwert von 35 % ausgegangen werden; vielmehr sei der Invaliditätsbemessung die durchschnittliche Einschränkung von 30 % zugrunde zu legen. Diese vorinstanzliche Interpretation des Berichts des Dr. med. T.________ vom 18. August 2005, wonach die Leistungseinschränkung 30 % beträgt, ist nicht offensichtlich unrichtig. Sie ist daher für das Eidgenössische Versicherungsgericht verbindlich.</w:t>
      </w:r>
    </w:p>
    <w:p>
      <w:r>
        <w:rPr>
          <w:b/>
        </w:rPr>
        <w:t>E. 4.3</w:t>
      </w:r>
    </w:p>
    <w:p>
      <w:r>
        <w:t>Für die Ermittlung der beiden Vergleichseinkommen hat die Vorinstanz (in Übereinstimmung mit der IV-Stelle) auf die Salärempfehlungen 2004 des Schweizerischen Kaufmännischen Verbandes (SKV; heute: Kaufmännischer Verband [KV]), Stufe C, Alter 36, abgestellt. Beim Invalideneinkommen brachte sie vom Lohn für eine 50 %-Beschäftigung 30 % für reduzierte Leistungsfähigkeit in Abzug. Daraus resultierte für den erwerblichen Bereich ein Invaliditätsgrad von 30 % (Valideneinkommen: Fr. 35'925.-; Invalideneinkommen: Fr. 25'147.-), d.h. ein Teilinvaliditätsgrad von 15 %.</w:t>
      </w:r>
    </w:p>
    <w:p>
      <w:r>
        <w:t>In der Verwaltungsgerichtsbeschwerde wird in Frage gestellt, ob es zulässig ist, für die Festsetzung des Invalideneinkommens auf die bisherige Erwerbstätigkeit und die Lohnempfehlungen des Kaufmännischen Verbandes abzustellen. Die Beschwerdeführerin macht geltend, sollte dies zu bejahen sein, sei zumindest ein leidensbedingter Abzug zuzulassen.</w:t>
      </w:r>
    </w:p>
    <w:p>
      <w:r>
        <w:rPr>
          <w:b/>
        </w:rPr>
        <w:t>E. 4.4</w:t>
      </w:r>
    </w:p>
    <w:p>
      <w:r>
        <w:t>Auf der nichtmedizinischen beruflich-erwerblichen Stufe der Invaliditätsbemessung charakterisieren sich als Rechtsfragen die gesetzlichen und rechtsprechungsgemässen Regeln über die Durchführung des Einkommensvergleichs ( BGE 130 V 348 Erw. 3.4, 128 V 30 Erw. 1, 104 V 136 Erw. 2a und b), einschliesslich derjenigen über die Anwendung der Schweizerischen Lohnstrukturerhebung (LSE; BGE 129 V 475 Erw. 4.2.1, 126 V 77 Erw. 3b/bb, 124 V 322 Erw. 3b/aa) und der Dokumentation von Arbeitsplätzen (DAP;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 zum Ganzen: zur Publikation in BGE 132 V bestimmtes Urteil B. vom 28. September 2006, I 618/06, Erw. 3.3).</w:t>
      </w:r>
    </w:p>
    <w:p>
      <w:r>
        <w:rPr>
          <w:b/>
        </w:rPr>
        <w:t>E. 4.5</w:t>
      </w:r>
    </w:p>
    <w:p>
      <w:r>
        <w:t>Entsprechend dem Grundsatz, dass das Valideneinkommen (wie auch das Invalideneinkommen) möglichst konkret zu ermitteln ist, erweist es sich als rechtsfehlerhaft, dass die Vorinstanz und die IV-Stelle für dessen Festsetzung nicht auf die Angaben der Versicherungsgesellschaft X.________ im Arbeitgeberfragebogen, sondern auf die (unverbindlichen) Salärempfehlungen des SKV/KV abgestellt haben. Letztere hat das Eidgenössische Versicherungsgericht denn auch nur in Ausnahmefällen beigezogen (vgl. beispielsweise Urteil W. vom 2. Juni 2006, I 419/05, Erw. 4.2). Nach den Angaben der ehemaligen Arbeitgeberin hätte die Beschwerdeführerin ohne gesundheitliche Beeinträchtigung im Jahr 2002 einen Monatslohn von Fr. 5356.- und ein Jahresgehalt von Fr. 69'628.- erzielt, was bei einer 50 %-Beschäftigung einem Einkommen von Fr. 34'814.- entspräche. Dieser Wert ist dem Valideneinkommen zugrunde zu legen.</w:t>
      </w:r>
    </w:p>
    <w:p>
      <w:r>
        <w:rPr>
          <w:b/>
        </w:rPr>
        <w:t>E. 4.6</w:t>
      </w:r>
    </w:p>
    <w:p>
      <w:r>
        <w:t>Für die Ermittlung des Invalideneinkommens ist bei Fehlen eines tatsächlich erzielten Erwerbseinkommens nach der Rechtsprechung grundsätzlich nicht auf die unverbindlichen Empfehlungen des SKV/KV abzustellen, sondern auf die auf tatsächlich erzielten Gehältern beruhenden Tabellenlöhne gemäss LSE (Urteile P. vom 29. Januar 2003, U 425/00, Erw. 4.4, B. vom 14. November 2002, I 429/01, Erw. 2.2, und B. vom 18. Juni 2002, I 139/02, Erw. 3b/aa). Die Salärempfehlungen des SKV/KV hat das Eidgenössische Versicherungsgericht lediglich in Ausnahmefällen beigezogen, namentlich wenn diese (ausnahmsweise; vgl. Erw. 4.5 hiervor) bereits Grundlage für die Ermittlung des Valideneinkommens bildeten (vgl. beispielsweise Urteile M. vom 21. März 2003, I 7/03, Erw. 3, und M. vom 26. Januar 2005, I 543/04, Erw. 3.3.3). Im Lichte dieser Rechtsprechung ist als rechtsfehlerhaft zu korrigieren, dass die Vorinstanz und die IV-Stelle für die Ermittlung des Invalideneinkommens auf die Empfehlungen des SKV/KV abgestellt haben.</w:t>
      </w:r>
    </w:p>
    <w:p>
      <w:r>
        <w:t>Gemäss Tabelle TA1 der LSE 2002 verdienten Frauen im Anforderungsniveau 3 (Berufs- und Fachkenntnisse vorausgesetzt) durchschnittlich Fr. 4743.- pro Monat, was aufgerechnet auf die durchschnittliche wöchentliche Arbeitszeit von 41,7 Stunden (Die Volkswirtschaft 11/2006, S. 90, Tabelle B9.2, Total) ein Jahresgehalt von Fr. 59'335.- bzw. bei einem 50 %-Pensum ein solches von Fr. 29'667.- ergibt. Nach Berücksichtigung der Leistungseinbusse von 30 % resultiert ein Jahreseinkommen von Fr. 20'767.-. Da hiermit die persönlichen und beruflichen Merkmale des Einzelfalles ( BGE 126 V 78 Erw. 5a/cc) bereits berücksichtigt worden sind, rechtfertigt sich die Vornahme eines (weiteren) leidensbedingten Abzuges von den LSE-Tabellenlöhnen im Sinne von BGE 129 V 481 Erw. 4.2.3 nicht (Urteil H. vom 6. September 2006, U 454/05, Erw. 6.6.3). Auszugehen ist somit von einem Invalideneinkommen von Fr. 20'767.-.</w:t>
      </w:r>
    </w:p>
    <w:p>
      <w:r>
        <w:rPr>
          <w:b/>
        </w:rPr>
        <w:t>E. 4.7</w:t>
      </w:r>
    </w:p>
    <w:p>
      <w:r>
        <w:t>Die Gegenüberstellung der beiden Vergleichseinkommen (Valideneinkommen: Fr. 34'814.-; Invalideneinkommen: Fr. 20'767.-) führt im erwerblichen Bereich zu einem Invaliditätsgrad von 40,3 %.</w:t>
      </w:r>
    </w:p>
    <w:p>
      <w:r>
        <w:rPr>
          <w:b/>
        </w:rPr>
        <w:t>E. 4.8</w:t>
      </w:r>
    </w:p>
    <w:p>
      <w:r>
        <w:t>Damit beträgt der Gesamtinvaliditätsgrad rund 42 % (40,3 % im Erwerbsbereich und 43,4 % im Haushalt, je hälftig gewichtet), womit die Beschwerdeführerin ab 1. Oktober 2004 ( Art. 88bis Abs. 2 lit. a IVV ) Anspruch auf eine Viertelsrente der Invalidenversicherung ( Art. 28 Abs. 1 IVG ) hat.</w:t>
      </w:r>
    </w:p>
    <w:p>
      <w:r>
        <w:rPr>
          <w:b/>
        </w:rPr>
        <w:t>E. 5</w:t>
      </w:r>
    </w:p>
    <w:p>
      <w:r>
        <w:t>Die Beschwerdeführerin rügt eine Gehörsverletzung, indem die Vorinstanz ihr keine Gelegenheit gegeben habe, auf die als Vergleichsofferte zu betrachtende Vernehmlassung der Beschwerdegegnerin einzugehen. Mit dem Ausgang des Verfahrens (Erw. 4) wird diese Rüge gegenstandslos, weil auch im Vergleichsfall eine Viertelsrente resultiert hätte.</w:t>
      </w:r>
    </w:p>
    <w:p>
      <w:r>
        <w:rPr>
          <w:b/>
        </w:rPr>
        <w:t>E. 6</w:t>
      </w:r>
    </w:p>
    <w:p>
      <w:r>
        <w:t>Das Verfahren ist kostenpflichtig ( Art. 134 OG in der Fassung vom 16. Dezember 2005, in Kraft seit 1. Juli 2006).</w:t>
      </w:r>
    </w:p>
    <w:p>
      <w:r>
        <w:t>Die unterliegende Beschwerdegegnerin hat die Gerichtskosten zu tragen (Art. 156 Abs. 1 in Verbindung mit Art. 135 OG ) und der obsiegenden Beschwerdeführerin die Parteikosten für den letztinstanzlichen Prozess zu ersetzen (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