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702/00 vom 30. April 2001</w:t>
      </w:r>
    </w:p>
    <w:p>
      <w:r>
        <w:t>Bundesgericht, 2001-04-30, FR</w:t>
      </w:r>
    </w:p>
    <w:p>
      <w:r>
        <w:rPr>
          <w:b/>
        </w:rPr>
        <w:t xml:space="preserve">Quelle: </w:t>
      </w:r>
      <w:r>
        <w:t>https://mcp.opencaselaw.ch/entscheid/bger_I_702_00</w:t>
      </w:r>
    </w:p>
    <w:p>
      <w:r>
        <w:t>FR: TF I 702/00 du 30 avril 2001</w:t>
      </w:r>
    </w:p>
    <w:p>
      <w:r>
        <w:t>IT: TF I 702/00 del 30 aprile 2001</w:t>
      </w:r>
    </w:p>
    <w:p>
      <w:pPr>
        <w:pStyle w:val="Heading2"/>
      </w:pPr>
      <w:r>
        <w:t>Regeste</w:t>
      </w:r>
    </w:p>
    <w:p>
      <w:r>
        <w:t>Assurance-invalidité</w:t>
      </w:r>
    </w:p>
    <w:p>
      <w:pPr>
        <w:pStyle w:val="Heading2"/>
      </w:pPr>
      <w:r>
        <w:t>Erwägungen</w:t>
      </w:r>
    </w:p>
    <w:p>
      <w:r>
        <w:rPr>
          <w:b/>
        </w:rPr>
        <w:t>E. 1</w:t>
      </w:r>
    </w:p>
    <w:p>
      <w:r>
        <w:t>a) Le droit d'être entendu est une garantie constitutionnelle de caractère formel, dont la violation doit entraîner l'annulation de la décision attaquée, indépendamment des chances de succès du recourant sur le fond ( ATF 126 V 132 consid. 2b et les arrêts cités).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126 I 16 consid. 2a/aa, 124 V 181 consid. 1a, 375 consid. 3b et les références). En revanche, l' art. 29 al. 2 Cst. ne garantit pas plus que l' art. 4 al. 1 aCst. le droit de s'exprimer oralement devant l'autorité appelée à statuer ( ATF 125 I 219 consid. 9b; Auer/Malinverni/Hottelier, Droit constitutionnel suisse, vol. II, n° 1300). b) Par ailleurs, l'obligation d'organiser des débats publics dans le contentieux de l'assurance sociale au sens de l'art. 6 § 1 CEDH suppose une demande du plaideur. Pour qu'une telle demande puisse être prise en considération, elle doit être formulée de manière claire et indiscutable. A cet égard, on considère que lorsqu'une partie sollicite sa comparution personnelle, cela n'équivaut pas à une demande de débats publics ( ATF 125 V 38 consid. 2; Jean-Maurice Frésard, L'applicabilité de l'art. 6 § 1 CEDH au contentieux de l'assurance sociale et ses conséquences sous l'angle du principe de la publicité des débats, RSA 1994, p. 194 ss). c) En l'espèce, le recourant a eu largement la possibilité de s'expliquer par écrit tant dans la procédure cantonale, au cours de laquelle il était représenté par un avocat, que devant la juridiction fédérale. Par ailleurs, il demande seulement à être entendu par la Cour de céans, ce qui, selon la jurisprudence précitée, n'équivaut pas à une demande formelle d'organiser des débats.</w:t>
      </w:r>
    </w:p>
    <w:p>
      <w:r>
        <w:rPr>
          <w:b/>
        </w:rPr>
        <w:t>E. 2</w:t>
      </w:r>
    </w:p>
    <w:p>
      <w:r>
        <w:t>a) D'après l' art. 17 LAI , l'assuré a droit au reclassement dans une nouvelle profession si son invalidité rend nécessaire le reclassement et si sa capacité de gain peut ainsi, selon toute vraisemblance, être sauvegardée ou améliorée de manière notable (al. 1). La rééducation dans la même profession est assimilée au reclassement (al. 2). La jurisprudence entend par reclassement en principe l'ensemble des mesures de réadaptation de nature professionnelle qui sont nécessaires et de nature à procurer à l'assuré déjà actif avant la survenance de son invalidité une possibilité de gain à peu près équivalente à celle que lui offrait son ancienne activité. L'assuré n'a pas droit à la prise en charge de la meilleure mesure de réadaptation possible, mais uniquement à celle qui est nécessaire et suffisante; il doit en outre exister une proportion raisonnable entre le succès prévisible d'une mesure et son coût ( ATF 124 V 110 consid. 2a, 121 V 260 consid. 2c et les références). b) Le Tribunal administratif a rappelé à juste titre que la profession de dessinateur en chauffage n'est, en l'état, plus exigible de la part du recourant, dès lors qu'il n'a plus pratiqué ce métier depuis qu'il a obtenu son CFC en 1989. Toutefois, une remise à niveau de ses connaissances, accompagnée d'une formation destinée à maîtriser les outils informatiques, lui permettrait d'offrir à nouveau ses services sur le marché de l'emploi, sans subir de perte de gain. Cette mesure, adéquate, répond précisément aux objectifs de la rééducation dans la même profession ( art. 17 al. 2 LAI ) et peut être mise en oeuvre rapidement et à moindre coûts (cf. consid. 3b du jugement attaqué). A sa demande, le recourant pourra donc bénéficier de cette mesure de réadaptation, s'il devait changer ultérieurement d'avis. En conséquence, le recourant n'a pas droit à la prise en charge, par l'AI, de la formation en gestion auprès de X.________ dont il souhaite bénéficier. Celle-ci est en effet beaucoup plus longue et plus onéreuse qu'une rééducation dans sa profession de dessinateur en chauffage; de surcroît, l'issue en est incertaine.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