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664/00 vom 26. Juni 2001</w:t>
      </w:r>
    </w:p>
    <w:p>
      <w:r>
        <w:t>Bundesgericht, 2001-06-26, FR</w:t>
      </w:r>
    </w:p>
    <w:p>
      <w:r>
        <w:rPr>
          <w:b/>
        </w:rPr>
        <w:t xml:space="preserve">Quelle: </w:t>
      </w:r>
      <w:r>
        <w:t>https://mcp.opencaselaw.ch/entscheid/bger_I_664_00</w:t>
      </w:r>
    </w:p>
    <w:p>
      <w:r>
        <w:t>FR: TF I 664/00 du 26 juin 2001</w:t>
      </w:r>
    </w:p>
    <w:p>
      <w:r>
        <w:t>IT: TF I 664/00 del 26 giugno 2001</w:t>
      </w:r>
    </w:p>
    <w:p>
      <w:pPr>
        <w:pStyle w:val="Heading2"/>
      </w:pPr>
      <w:r>
        <w:t>Regeste</w:t>
      </w:r>
    </w:p>
    <w:p>
      <w:r>
        <w:t>Assurance-invalidité</w:t>
      </w:r>
    </w:p>
    <w:p>
      <w:pPr>
        <w:pStyle w:val="Heading2"/>
      </w:pPr>
      <w:r>
        <w:t>Erwägungen</w:t>
      </w:r>
    </w:p>
    <w:p>
      <w:r>
        <w:rPr>
          <w:b/>
        </w:rPr>
        <w:t>E. 1</w:t>
      </w:r>
    </w:p>
    <w:p>
      <w:r>
        <w:t>Le litige porte sur le droit du recourant à une rente d'invalidité.</w:t>
      </w:r>
    </w:p>
    <w:p>
      <w:r>
        <w:rPr>
          <w:b/>
        </w:rPr>
        <w:t>E. 2</w:t>
      </w:r>
    </w:p>
    <w:p>
      <w:r>
        <w:t>Le jugement entrepris (consid. 2a) expose correctement le contenu des art. 4, 28 et 29 LAI relatifs à la notion d'invalidité, à l'échelonnement des rentes selon le taux d'invalidité de l'assuré, à la manière d'évaluer ce taux et au moment où le droit à une rente prend naissance, de sorte qu'on peut y renvoyer. On précisera néanmoins que, parmi les atteintes à la santé psychique qui peuvent, comme les atteintes physiques, provoquer une invalidité au sens de l' art. 4 al. 1 LAI , se trouvent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 ATF 102 V 165 ; VSI 2000 p. 153 consid. 2a et les références).</w:t>
      </w:r>
    </w:p>
    <w:p>
      <w:r>
        <w:rPr>
          <w:b/>
        </w:rPr>
        <w:t>E. 3</w:t>
      </w:r>
    </w:p>
    <w:p>
      <w:r>
        <w:t>S'appuyant sur les rapports médicaux des docteurs F.________ et C.________, le recourant conteste la valeur probante des expertises des docteurs D.________ et E.________. Il demande qu'une expertise pluridisciplinaire soit aménagée. a) Les moyens de preuves ressortant de la procédure menée devant l'assureur social peuvent être considérés comme suffisants par le juge, qui renoncera alors à mettre en oeuvre de nouvelles mesures d'instruction. Toutefois, dans ce cas, l'appréciation anticipée des preuves est soumise à des exigences sévères. En cas de doute, même léger, sur le caractère pertinent ou complet des rapports figurant au dossier, le juge doit faire procéder lui-même à une expertise ou renvoyer la cause à l'assureur social pour instruction complémentaire ( ATF 122 V 162 consid. 1d).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 ATF 125 V 352 consid. 3a et les références). b) aa) Les rapports médicaux invoqués par le recourant ne permettent pas de s'écarter de l'expertise établie par le docteur D.________. Spécialiste FMH en psychiatrie et psychothérapie, ce praticien était le mieux placé pour se prononcer sur l'existence de problèmes psychiques et d'un état dépressif - qu'il a niée, contrairement au docteur F.________ - ainsi que sur la portée des troubles somatoformes douloureux constatés. Quoiqu'en dise le recourant, rien ne permet de penser que ses plaintes n'ont pas été prises en considération par l'expert, ou que ce dernier n'aurait pas réellement cherché à le comprendre. En particulier, le docteur D.________ a été attentif à d'éventuels problèmes d'ordre linguistique, puisqu'il a expressément constaté que le recourant s'exprimait très bien en français. De même les quelques approximations de l'anamnèse alléguées par le recourant ne remettent-elles pas en cause l'objectivité et la pertinence de l'expertise psychiatrique. Enfin et contrairement à l'opinion du recourant, il n'incombe pas nécessairement au médecin chargé d'une expertise d'expliquer, après avoir exclu l'existence d'une atteinte à la santé entraînant une incapacité de travail, pourquoi un assuré n'exploite pas toute sa capacité de travail. bb) Les rapports des docteurs F.________ et C.________ ne justifient pas davantage de s'écarter des constatations du docteur E.________. D'abord, l'expertise réalisée par ce praticien répond aux exigences de la jurisprudence en la matière (cf. consid. 3a ci-dessus), de sorte qu'elle revêt une valeur probante certaine. Ensuite, le rapport du docteur F.________ indique que le recourant pourrait, au vu de ses seules atteintes à la santé physique, exercer une activité offrant des alternances de postures et ne nécessitant pas le port de charges supérieures à 15 kg. Ce rapport concorde donc largement avec l'expertise rhumatologique mise en cause; il en diverge certes quant aux possibilités de réadaptation professionnelle du recourant, mais essentiellement en relation avec l'existence de problèmes psychiques sous-jacents. Or, sur ce point, l'avis du docteur F.________ est contredit par l'expertise psychiatrique réalisée par le docteur D.________, dont les conclusions doivent être suivies, comme on l'a vu (cf. consid. 3 b/bb ci-dessus). Enfin, les rapports des 14 avril et 23 octobre 2000 du docteur C.________ ne constituent pour l'essentiel qu'un rappel des démarches médicales et professionnelles effectuées depuis 1996, sans que l'incapacité de travail retenue soit réellement motivée. cc) La mise en oeuvre d'une expertise pluridisciplinaire n'est pas nécessaire dans le cas d'espèce, dans la mesure où les expertises psychiatrique et rhumatologique figurant au dossier sont complémentaires. Les experts se sont montrés suffisamment explicites sur l'importance respective qu'ils ont accordée aux affections physiques et psychiques du recourant.</w:t>
      </w:r>
    </w:p>
    <w:p>
      <w:r>
        <w:rPr>
          <w:b/>
        </w:rPr>
        <w:t>E. 4</w:t>
      </w:r>
    </w:p>
    <w:p>
      <w:r>
        <w:t>Vu les expertises des docteurs D.________ et E.________, le recourant ne présente pas d'incapacité de travail dans une activité ne nécessitant pas le port de charges et ne comportant pas de mouvements répétitif ou de travail en porte-à-faux. Il n'exploite donc pas toute sa capacité de travail résiduelle en travaillant à 50 % environ pour le compte de Y.________ et pourrait réaliser un revenu excluant le droit à une rente d'invalidité. Cela ressort du reste des indications de son ancien employeur relatives au salaire versé avant la survenance de l'invalidité (58 840 fr. en 1996) et de l'enquête menée par l'office AI auprès d'entreprises de la région lausannoise (revenu annuel de 37 944 fr. au minimum et de 42 000 fr. au maximum dans une activité adaptée à sa capacité de travail résiduelle).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