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659/99 vom 23. März 2000</w:t>
      </w:r>
    </w:p>
    <w:p>
      <w:r>
        <w:t>Bundesgericht, 2000-03-23, FR</w:t>
      </w:r>
    </w:p>
    <w:p>
      <w:r>
        <w:rPr>
          <w:b/>
        </w:rPr>
        <w:t xml:space="preserve">Quelle: </w:t>
      </w:r>
      <w:r>
        <w:t>https://mcp.opencaselaw.ch/entscheid/bger_I_659_99</w:t>
      </w:r>
    </w:p>
    <w:p>
      <w:r>
        <w:t>FR: TF I 659/99 du 23 mars 2000</w:t>
      </w:r>
    </w:p>
    <w:p>
      <w:r>
        <w:t>IT: TF I 659/99 del 23 marzo 2000</w:t>
      </w:r>
    </w:p>
    <w:p>
      <w:pPr>
        <w:pStyle w:val="Heading2"/>
      </w:pPr>
      <w:r>
        <w:t>Regeste</w:t>
      </w:r>
    </w:p>
    <w:p>
      <w:r>
        <w:t>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premiers juges ont exposé correctement les dispositions légales et réglementaires applicables à la révision du droit à la rente, de sorte qu'il suffit de renvoyer aux consid. 1 à 5 du jugement attaqué ( art. 36a al. 3 OJ).</w:t>
      </w:r>
    </w:p>
    <w:p>
      <w:r>
        <w:rPr>
          <w:b/>
        </w:rPr>
        <w:t>E. 2</w:t>
      </w:r>
    </w:p>
    <w:p>
      <w:r>
        <w:t>Devant le Tribunal fédéral des assurances, le re- courant ne conteste ni les conclusions des expertises médicales auxquelles il a été soumis, ni la nature des ac- tivités lucratives qui restent exigibles de sa part compte tenu de son état de santé (voir le rapport du COMAI de Bellinzone du 28 mars 1997, pp. 14-15). Il ne s'en prend qu'au taux d'invalidité que l'intimé a fixé dans le cadre de la procédure de révision prévue par l' art. 41 LAI (voir l'évaluation du 23 septembre 1998), sans indiquer en quoi les valeurs retenues seraient erronées.</w:t>
      </w:r>
    </w:p>
    <w:p>
      <w:r>
        <w:rPr>
          <w:b/>
        </w:rPr>
        <w:t>E. 3</w:t>
      </w:r>
    </w:p>
    <w:p>
      <w:r>
        <w:t>En l'espèce, il est établi que le recourant n'est plus apte à accomplir un travail de manoeuvre de chantier ou de machiniste. En revanche, il peut exercer une activité de substitution telle que surveillant, contrôleur, employé semi ou non-qualifié dans le commerce de détail ou une ac- tivité industrielle légère ne demandant pas l'utilisation régulière et répétée du bras et de la main gauche au-dessus de l'horizontale, dans une mesure de 75 % au moins (cf. rapport du COMAI, précité; consid. 6b p. 8 du jugement du</w:t>
      </w:r>
    </w:p>
    <w:p>
      <w:r>
        <w:rPr>
          <w:b/>
        </w:rPr>
        <w:t>E. 4</w:t>
      </w:r>
    </w:p>
    <w:p>
      <w:r>
        <w:t>octobre 1999). Le 23 septembre 1998, les services de l'intimé ont évalué le degré d'invalidité du recourant à 36,57 % (cf. art. 28 al. 2 LAI ), en se fondant sur des données relatives à l'année 1992. Toutefois, même s'ils avaient examiné le cas à la lumière de statistiques plus récentes (cf. La Vie économique 2/2000, publication du Département fédéral de l'économie, 2e partie, table B10.1 p. 28) et pris un fac- teur de réduction de 10 % eu égard à l'état de santé du recourant (VSI 1998 p. 179; SVR 1998 IV n° 8 pp. 32-33 consid. 6), la limite du taux de 50 % ouvrant droit à la demi-rente n'aurait pas non plus été atteinte. Le recourant, domicilié à l'étranger, subit désormais une perte de gain inférieure à 50 %, si bien qu'il n'a plus droit à une rente d'invalidité ( art. 28 al. 1ter LAI ). A cet égard, la convention de sécurité sociale entre la Suisse et le Portugal du 11 septembre 1975 ne fait pas obstacle à l'application de cette disposition légale qui, du reste, s'applique indépendamment de la nationalité de l'assuré ( ATF 115 V 20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