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64/02 vom 30. Januar 2003</w:t>
      </w:r>
    </w:p>
    <w:p>
      <w:r>
        <w:t>Bundesgericht, 2003-01-30, FR</w:t>
      </w:r>
    </w:p>
    <w:p>
      <w:r>
        <w:rPr>
          <w:b/>
        </w:rPr>
        <w:t xml:space="preserve">Quelle: </w:t>
      </w:r>
      <w:r>
        <w:t>https://mcp.opencaselaw.ch/entscheid/bger_I_64_02</w:t>
      </w:r>
    </w:p>
    <w:p>
      <w:r>
        <w:t>FR: TF I 64/02 du 30 janvier 2003</w:t>
      </w:r>
    </w:p>
    <w:p>
      <w:r>
        <w:t>IT: TF I 64/02 del 30 gennaio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D'après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Selon l' art. 4 al. 1 LAI , l'invalidité est la diminution de la capacité de gain, présumée permanente ou de longue durée, qui résulte d'une atteinte à la santé physique ou mentale provenant d'une infirmité congénitale, d'une maladie ou d'un accident.</w:t>
      </w:r>
    </w:p>
    <w:p>
      <w:r>
        <w:rPr>
          <w:b/>
        </w:rPr>
        <w:t>E. 3.1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Lorsque le pouvoir d'examen du Tribunal fédéral des assurances est étendu, de nouveaux moyens de preuve sont en principe admissibles. Ceux-ci doivent toutefois se rapporter à l'état de fait déterminant pour statuer sur la légalité de la décision litigieuse, à savoir l'état de fait existant au moment où celle-ci a été rendue ( ATF 121 V 366 consid. 1b et les arrêts cités). Hormis le cas où elles constituent des faits nouveaux importants ou des preuves concluantes au sens de l' art. 137 let. b OJ et pourraient dès lors justifier la révision de l'arrêt du tribunal, des pièces nouvelles ne peuvent toutefois être produites après l'échéance du délai de recours de droit administratif, sauf dans le cadre d'un deuxième échange d'écritures ( ATF 127 V 353 ).</w:t>
      </w:r>
    </w:p>
    <w:p>
      <w:r>
        <w:rPr>
          <w:b/>
        </w:rPr>
        <w:t>E. 3.2</w:t>
      </w:r>
    </w:p>
    <w:p>
      <w:r>
        <w:t>A l'appui de ses conclusions, le recourant produit deux rapports médicaux qui ont été établis postérieurement à la décision administrative litigieuse. Dans la mesure où ils concernent l'état de fait médical déterminant pour apprécier le bien-fondé de la décision litigieuse, ces nouveaux moyens de preuve sont admissibles.</w:t>
      </w:r>
    </w:p>
    <w:p>
      <w:r>
        <w:rPr>
          <w:b/>
        </w:rPr>
        <w:t>E. 4</w:t>
      </w:r>
    </w:p>
    <w:p>
      <w:r>
        <w:t>En l'occurrence, il est incontesté que tant l'épilepsie que le syndrome d'apnée du sommeil dont souffre le recourant n'ont pas le caractère de troubles invalidants. Il convient donc d'examiner si l'intéressé subit une diminution de sa capacité de gain en raison de la toxicomanie et de l'état dépressif.</w:t>
      </w:r>
    </w:p>
    <w:p>
      <w:r>
        <w:rPr>
          <w:b/>
        </w:rPr>
        <w:t>E. 5.1</w:t>
      </w:r>
    </w:p>
    <w:p>
      <w:r>
        <w:t>Selon la jurisprudence, la toxicomanie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 ATF 99 V 28 consid. 2; VSI 2002 p. 32 consid. 2a, 1996 p. 319 consid. 2a, 321 consid. 1a et 325 consid. 1a).</w:t>
      </w:r>
    </w:p>
    <w:p>
      <w:r>
        <w:rPr>
          <w:b/>
        </w:rPr>
        <w:t>E. 5.2</w:t>
      </w:r>
    </w:p>
    <w:p>
      <w:r>
        <w:t>La juridiction cantonale a considéré que l'usage de substances toxiques est apparu à l'âge de 20 ans, époque à laquelle le recourant ne présentait ni atteinte à la santé psychique ni trouble physique de nature à entraîner une toxicomanie. Selon les premiers juges, celle-ci n'a pas non plus causé une telle maladie, de sorte qu'elle ne constitue pas une invalidité au sens de la loi. Quant à l'état dépressif, la juridiction cantonale considère qu'il n'a pas un caractère invalidant. De son côté, le recourant fait valoir que la toxicomanie résulte d'une atteinte à la santé mentale, soit en l'occurrence un désordre psychique lié à des troubles graves du caractère, du comportement et de l'affectivité.</w:t>
      </w:r>
    </w:p>
    <w:p>
      <w:r>
        <w:rPr>
          <w:b/>
        </w:rPr>
        <w:t>E. 5.3</w:t>
      </w:r>
    </w:p>
    <w:p>
      <w:r>
        <w:t>Dans leur rapport du 31 mai 2000, les docteurs A.________ et B.________ ont posé le diagnostic d'épisode dépressif moyen, sans syndrome somatique (F32.10) et de dépendance à l'héroïne (F11.21), tout en indiquant que l'intéressé était alors abstinent en raison de son placement dans un milieu protégé. Ces médecins ne se prononcent pas sur l'existence éventuelle d'un lien de causalité entre la toxicomanie et les troubles dépressifs. De son côté, le docteur C.________ est d'avis que la toxicomanie résulte d'un trouble grave de la personnalité (rapport du 8 janvier 2002). Cette appréciation a été corroborée par le docteur D.________ dans son rapport du 15 janvier 2002. Selon ce spécialiste, l'assuré a présenté, depuis l'enfance, de grandes difficultés psychologiques de nature anxieuse et phobique, probablement liées à un climat familial perturbé. Sur le plan psychiatrique, le docteur D.________ a fait état d'un trouble de la personnalité de type état limite inférieur avec des traits caractériels passifs, d'une grande immaturité et dépendance, ainsi qu'une dépression anaclitique. Il conclut que la toxicomanie résulte des troubles graves de la personnalité. Sur le vu de ces avis médicaux, dont il n'y a pas de raison, en l'occurrence, de s'écarter, le point de vue des premiers juges ne saurait être partagé. En effet, il ressort des rapports des docteurs C.________ et D.________ que le tableau clinique repose essentiellement sur de grandes difficultés psychologiques de nature anxieuse et phobique apparues dès l'enfance. Selon ces médecins, les graves troubles de la personnalité sont à l'origine non seulement des échecs scolaires et professionnels répétés mais également de la consommation de substances toxiques. Cela étant, force est de constater que la toxicomanie résulte de graves troubles de la personnalité, lesquels ont incontestablement valeur de maladie au sens de la jurisprudence (cf. RCC 1992 p. 180; arrêt P. du 19 juin 2002, I 390/01). Au demeurant, tous les médecins consultés font état également d'un état dépressif auquel on ne saurait, comme la juridiction cantonale, dénier d'emblée tout caractère invalidant. Dans ces conditions, il convient de renvoyer la cause à l'office intimé pour qu'il détermine les effets de l'atteinte à la santé sur la capacité de gain du recourant et statue à nouveau sur le droit éventuel de celui-ci à des prestations de l'assurance-invalidité.</w:t>
      </w:r>
    </w:p>
    <w:p>
      <w:r>
        <w:rPr>
          <w:b/>
        </w:rPr>
        <w:t>E. 6</w:t>
      </w:r>
    </w:p>
    <w:p>
      <w:r>
        <w:t>Le recourant, qui obtient gain de cause, est représenté par le Service juridique de la Fédération suisse pour l'intégration des handicapés (FSIH). Il a droit à une indemnité de dépens pour la procédure fédérale (art. 159 al. 1 en liaison avec l' art. 135 OJ ; SVR 1997 IV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