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633/06 vom 7. November 2006</w:t>
      </w:r>
    </w:p>
    <w:p>
      <w:r>
        <w:t>Bundesgericht, 2006-11-07, DE</w:t>
      </w:r>
    </w:p>
    <w:p>
      <w:r>
        <w:rPr>
          <w:b/>
        </w:rPr>
        <w:t xml:space="preserve">Quelle: </w:t>
      </w:r>
      <w:r>
        <w:t>https://mcp.opencaselaw.ch/entscheid/bger_I_633_06</w:t>
      </w:r>
    </w:p>
    <w:p>
      <w:r>
        <w:t>FR: TF I 633/06 du 7 novembre 2006</w:t>
      </w:r>
    </w:p>
    <w:p>
      <w:r>
        <w:t>IT: TF I 633/06 del 7 novembre 2006</w:t>
      </w:r>
    </w:p>
    <w:p>
      <w:pPr>
        <w:pStyle w:val="Heading2"/>
      </w:pPr>
      <w:r>
        <w:t>Regeste</w:t>
      </w:r>
    </w:p>
    <w:p>
      <w:r>
        <w:t>Invalidenversicherung | Invalidenversicherung</w:t>
      </w:r>
    </w:p>
    <w:p>
      <w:pPr>
        <w:pStyle w:val="Heading2"/>
      </w:pPr>
      <w:r>
        <w:t>Erwägungen</w:t>
      </w:r>
    </w:p>
    <w:p>
      <w:r>
        <w:rPr>
          <w:b/>
        </w:rPr>
        <w:t>E. 1.1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1.2</w:t>
      </w:r>
    </w:p>
    <w:p>
      <w:r>
        <w:t>Im Hinblick darauf, dass die Verwaltungsgerichtsbeschwerde am 11. Juli 2006 der Post übergeben wurde und am 12. Juli 2006 beim Eidgenössischen Versicherungsgericht einging, ist Art. 132 Abs. 2 OG anwendbar, obwohl der angefochtene Entscheid vom 11. Mai 2006 datiert und somit vor dem Inkrafttreten der Gesetzesänderung ergangen ist. Die massgebliche Übergangsbestimmung (lit. c von Ziff. II der Gesetzesänderung vom 16. Dezember 2005) erklärt bisheriges Recht bezüglich der im Zeitpunkt des Inkrafttretens beim Eidgenössischen Versicherungsgericht anhängigen Beschwerden für anwendbar. Das trifft hier nicht zu. Es verhält sich anders als nach dem auf den 1. Januar 2007 in Kraft tretenden Art. 132 Abs. 1 des Bundesgesetzes über das Bundesgericht (BGG), welcher das neue Recht erst auf diejenigen Beschwerdeverfahren intertemporalrechtlich für anwendbar erklärt, in denen nicht nur die Sache am 1. Januar 2007 beim Bundesgericht anhängig war, sondern auch der angefochtene Entscheid nach Inkrafttreten des BGG ergeht.</w:t>
      </w:r>
    </w:p>
    <w:p>
      <w:r>
        <w:rPr>
          <w:b/>
        </w:rPr>
        <w:t>E. 2.1</w:t>
      </w:r>
    </w:p>
    <w:p>
      <w:r>
        <w:t>Weil der Anspruch auf eine im Jahr 2003 beginnende Rente zur Diskussion steht und der Einspracheentscheid, der praxisgemäss die zeitliche Grenze der gerichtlichen Überprüfung festlegt ( BGE 129 V 169 Erw. 1 mit Hinweis), am 28. Oktober 2005 erging, sind für die materiellrechtliche Beurteilung bis Ende 2003 die damals gültig gewesenen und ab 1. Januar 2004 die seither geltenden Bestimmungen massgebend (vgl. BGE 130 V 445 ff. Erw. 1). Es rechtfertigt sich jedoch, auf die neue Normenlage Bezug zu nehmen, da diese gegenüber der früheren zu keiner hier relevanten inhaltlichen Änderung geführt hat.</w:t>
      </w:r>
    </w:p>
    <w:p>
      <w:r>
        <w:rPr>
          <w:b/>
        </w:rPr>
        <w:t>E. 2.2</w:t>
      </w:r>
    </w:p>
    <w:p>
      <w:r>
        <w:t>Ist ein Versicherter zu mindestens 40 % invalid, so hat er Anspruch auf eine Rente ( Art. 28 Abs. 1 Satz 1 IVG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in der seit 1. Januar 2004 geltenden Fassung).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w:t>
      </w:r>
    </w:p>
    <w:p>
      <w:r>
        <w:t>Das kantonale Gericht gelangte in Würdigung der medizinischen Akten zum Ergebnis, der Beschwerdeführer könne die angestammte Tätigkeit nur noch zu 50 % ausüben, sei jedoch in einer leidensangepassten Tätigkeit (d.h. ohne Überkopfarbeiten, mit etwas Bewegung und Wechsel der Haltungsposition) zu 75 % arbeitsfähig. Diese vorinstanzliche Feststellung ist tatsächlicher Natur (zur Publikation in BGE 132 V bestimmtes Urteil B. vom 28. September 2006, I 618/06, Erw. 3.2). Sie stützt sich auf die Gutachten des Dr. med. B.________ vom 29. Mai 2003 und 25. Mai 2005 sowie des Dr. med. F.________ vom 14. Oktober 2005. Den davon abweichenden Aussagen der behandelnden Ärzte der Schmerzklinik Y.________, auf welche sich der Beschwerdeführer beruft, ist praxisgemäss nur eingeschränkter Beweiswert beizumessen (vgl. zur Unverträglichkeit von Therapie- und Expertiseauftrag aus der jüngeren Rechtsprechung Urteil P. vom 2. August 2006, U 58/06, Erw. 2.2 und, spezifisch bezogen auf die Psychiatrie, Urteil G. vom 13. März 2006, I 676/05, Erw. 2.4). Sie sind mit Blick auf die gemäss Art. 105 Abs. 2 OG zulässigen Rügen (Erw. 1.1) nicht geeignet, das vom kantonalen Gericht umschriebene Zumutbarkeitsprofil als offensichtlich unrichtig oder unvollständig erscheinen zu lassen. Ebenso wenig bilden die vorinstanzlichen Feststellungen das Ergebnis einer Verletzung wesentlicher Verfahrensvorschriften, zu welchen auch der in Art. 61 lit. c ATSG statuierte Untersuchungsgrundsatz zählt (SZS 2001 S. 562 Erw. 2a [= Urteil B. vom 26. September 2001]; Urteil M. vom 25. Juli 2000, C 93/00, Erw. 2b/cc; nicht veröffentlichtes Urteil A. des Bundesgerichts vom 18. Mai 1990, 2A.166/1989; vgl. auch RKUV 2003 Nr. U 495 S. 399 f. Erw. 5.3.2 und 5.3.3 [= Urteil W. vom 29. August 2003, U 243/00] sowie Urteil A. des Bundesgerichts vom 12. August 2005, 2A.271/2005, Erw. 2.3). Denn bei der gegebenen Aktenlage konnte die Vorinstanz zulässigerweise in antizipierter Beweiswürdigung (dazu BGE 124 V 94 Erw. 4b, 122 V 162 Erw. 1d; SVR 2005 MV Nr. 1 S. 2 Erw. 2.3 [= Urteil T. vom 17. Juni 2004, M 1/02] mit Hinweisen; vgl. auch BGE 131 I 157 Erw. 3) von weiteren medizinischen Beweismassnahmen absehen.</w:t>
      </w:r>
    </w:p>
    <w:p>
      <w:r>
        <w:rPr>
          <w:b/>
        </w:rPr>
        <w:t>E. 4</w:t>
      </w:r>
    </w:p>
    <w:p>
      <w:r>
        <w:t>Die Vorinstanz legte sowohl das Validen- als auch das Invalideneinkommen gestützt auf dieselbe Tabelle der vom Bundesamt für Statistik herausgegebenen Schweizerischen Lohnstrukturerhebung (LSE) 2000 fest, wobei sie, der IV-Stelle folgend, auf den Zentralwert des standardisierten Monatslohns der im Anforderungsniveau 4 (einfache und repetitive Tätigkeiten) beschäftigten Männer abstellte. Das gewählte Vorgehen wird den konkreten Verhältnissen gerecht und berücksichtigt insbesondere den Umstand, dass der Beschwerdeführer aus invaliditätsfremden Gründen ein deutlich unterdurchschnittliches Einkommen erzielt hatte ( BGE 129 V 225 Erw. 4.4 mit Hinweisen). Infolge dieser zulässigerweise vorgenommenen Parallelisierung ergab sich unter Berücksichtigung der Restarbeitsfähigkeit von 75 % sowie eines prozentualen Abzugs von 10 %, dessen Festsetzung (dazu BGE 126 V 79 f. Erw. 5b) nicht als ermessensmissbräuchlich ( Art. 104 lit. a OG ) zu bezeichnen ist, ein Invaliditätsgrad von 33 %, der keinen Rentenanspruch begründet.</w:t>
      </w:r>
    </w:p>
    <w:p>
      <w:r>
        <w:rPr>
          <w:b/>
        </w:rPr>
        <w:t>E. 5</w:t>
      </w:r>
    </w:p>
    <w:p>
      <w:r>
        <w:t>Das Verfahren ist kostenpflichtig ( Art. 134 Satz 2 OG in der seit 1. Juli 2006 geltenden Fassung; vgl. Erw. 1.2). Die Gerichtskosten sind dem Beschwerdeführer als unterliegender Partei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