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I_605/1999 vom 19. Januar 2000</w:t>
      </w:r>
    </w:p>
    <w:p>
      <w:r>
        <w:t>Bundesgericht, 2000-01-19, DE</w:t>
      </w:r>
    </w:p>
    <w:p>
      <w:r>
        <w:rPr>
          <w:b/>
        </w:rPr>
        <w:t xml:space="preserve">Quelle: </w:t>
      </w:r>
      <w:r>
        <w:t>https://mcp.opencaselaw.ch/entscheid/bger_I_605_1999</w:t>
      </w:r>
    </w:p>
    <w:p>
      <w:r>
        <w:t>FR: TF I_605/1999 du 19 janvier 2000</w:t>
      </w:r>
    </w:p>
    <w:p>
      <w:r>
        <w:t>IT: TF I_605/1999 del 19 gennaio 2000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April 1997 entsprechende Hinweise. Es ist daher be-</w:t>
      </w:r>
    </w:p>
    <w:p>
      <w:r>
        <w:t>weisrechtlich davon auszugehen, dass diese neue Tatsachen-</w:t>
      </w:r>
    </w:p>
    <w:p>
      <w:r>
        <w:t>behauptung die Zeit nach Verfügungserlass betrifft und</w:t>
      </w:r>
    </w:p>
    <w:p>
      <w:r>
        <w:t>somit hier nicht zu berücksichtigen ist ( BGE 121 V 366</w:t>
      </w:r>
    </w:p>
    <w:p>
      <w:r>
        <w:t>Erw. 1b mit Hinweisen).</w:t>
      </w:r>
    </w:p>
    <w:p>
      <w:r>
        <w:t>c) Die vorstehenden Ausführungen zeigen, dass nicht</w:t>
      </w:r>
    </w:p>
    <w:p>
      <w:r>
        <w:t>ein für allemal, auch nicht im Sinne einer Regel, abstrakt</w:t>
      </w:r>
    </w:p>
    <w:p>
      <w:r>
        <w:t>gesagt werden kann, ab welchem Alter ein schwer (st) behin-</w:t>
      </w:r>
    </w:p>
    <w:p>
      <w:r>
        <w:t>dertes Kind spätestens als in schwerem Grade hilflos zu</w:t>
      </w:r>
    </w:p>
    <w:p>
      <w:r>
        <w:t>betrachten ist. Die gegenteilige offenbar von Dr. med.</w:t>
      </w:r>
    </w:p>
    <w:p>
      <w:r>
        <w:t>G.________ geteilte Auffassung liefe auf eine im Gesetz</w:t>
      </w:r>
    </w:p>
    <w:p>
      <w:r>
        <w:t>nicht vorgesehene und auch grundsätzlich unzulässige</w:t>
      </w:r>
    </w:p>
    <w:p>
      <w:r>
        <w:t>antizipierte Festlegung des Hilflosigkeitsgrades hinaus</w:t>
      </w:r>
    </w:p>
    <w:p>
      <w:r>
        <w:t>(vgl. BGE 119 V 471 Erw. 2b; vgl. auch ZAK 1989 S. 173</w:t>
      </w:r>
    </w:p>
    <w:p>
      <w:r>
        <w:t>Erw. 3a). Vielmehr hat die Beurteilung der Hilflosigkeit</w:t>
      </w:r>
    </w:p>
    <w:p>
      <w:r>
        <w:t>- im Vergleich mit einem gleichaltrigen gesunden Kind -</w:t>
      </w:r>
    </w:p>
    <w:p>
      <w:r>
        <w:t>immer auf Grund der konkreten Umstände des Einzelfalles,</w:t>
      </w:r>
    </w:p>
    <w:p>
      <w:r>
        <w:t>insbesondere unter Berücksichtigung des invaliditätsbe-</w:t>
      </w:r>
    </w:p>
    <w:p>
      <w:r>
        <w:t>dingten, objektiv notwendigen Aufwands für die Überwachung</w:t>
      </w:r>
    </w:p>
    <w:p>
      <w:r>
        <w:t>des behinderten Kindes (in diesem Sinne schon ZAK 1970</w:t>
      </w:r>
    </w:p>
    <w:p>
      <w:r>
        <w:t>S. 286 unten und S. 490 Erw. 1c) zu erfolgen. Damit ist</w:t>
      </w:r>
    </w:p>
    <w:p>
      <w:r>
        <w:t>schliesslich auch der auf rechtsgleiche Behandlung zielende</w:t>
      </w:r>
    </w:p>
    <w:p>
      <w:r>
        <w:t>Einwand entkräftet, dass zwei ebenso schwer handicapierten</w:t>
      </w:r>
    </w:p>
    <w:p>
      <w:r>
        <w:t>Kindern ein Pflegebeitrag für schwere Hilflosigkeit zuge-</w:t>
      </w:r>
    </w:p>
    <w:p>
      <w:r>
        <w:t>sprochen worden sei.</w:t>
      </w:r>
    </w:p>
    <w:p>
      <w:r>
        <w:t>d) Nach dem Gesagten ist der angefochtene Entscheid</w:t>
      </w:r>
    </w:p>
    <w:p>
      <w:r>
        <w:t>rechtens.</w:t>
      </w:r>
    </w:p>
    <w:p>
      <w:r>
        <w:t>Demnach erkennt das Eidg. Versicherungsgericht:</w:t>
      </w:r>
    </w:p>
    <w:p>
      <w:r>
        <w:t>I.Die Verwaltungsgerichtsbeschwerde wird abgewiesen, so-</w:t>
      </w:r>
    </w:p>
    <w:p>
      <w:r>
        <w:t>weit darauf einzutreten ist.</w:t>
      </w:r>
    </w:p>
    <w:p>
      <w:r>
        <w:t>II.Es werden keine Gerichtskosten erhoben.</w:t>
      </w:r>
    </w:p>
    <w:p>
      <w:r>
        <w:t>III.Dieses Urteil wird den Parteien, dem Sozialversiche-</w:t>
      </w:r>
    </w:p>
    <w:p>
      <w:r>
        <w:t>rungsgericht des Kantons Zürich, der Ausgleichskasse</w:t>
      </w:r>
    </w:p>
    <w:p>
      <w:r>
        <w:t>des Kantons Zürich und dem Bundesamt für Sozialver-</w:t>
      </w:r>
    </w:p>
    <w:p>
      <w:r>
        <w:t>sicherung zugestellt.</w:t>
      </w:r>
    </w:p>
    <w:p>
      <w:r>
        <w:t>Luzern, 19. Januar 2000</w:t>
      </w:r>
    </w:p>
    <w:p>
      <w:r>
        <w:t>Im Namen des</w:t>
      </w:r>
    </w:p>
    <w:p>
      <w:r>
        <w:t>Eidgenössischen Versicherungsgerichts</w:t>
      </w:r>
    </w:p>
    <w:p>
      <w:r>
        <w:t>Der Präsident der III. Kammer:</w:t>
      </w:r>
    </w:p>
    <w:p>
      <w:r>
        <w:t>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