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597/01 vom 11. September 2002</w:t>
      </w:r>
    </w:p>
    <w:p>
      <w:r>
        <w:t>Bundesgericht, 2002-09-11, FR</w:t>
      </w:r>
    </w:p>
    <w:p>
      <w:r>
        <w:rPr>
          <w:b/>
        </w:rPr>
        <w:t xml:space="preserve">Quelle: </w:t>
      </w:r>
      <w:r>
        <w:t>https://mcp.opencaselaw.ch/entscheid/bger_I_597_01</w:t>
      </w:r>
    </w:p>
    <w:p>
      <w:r>
        <w:t>FR: TF I 597/01 du 11 septembre 2002</w:t>
      </w:r>
    </w:p>
    <w:p>
      <w:r>
        <w:t>IT: TF I 597/01 del 11 settembre 2002</w:t>
      </w:r>
    </w:p>
    <w:p>
      <w:pPr>
        <w:pStyle w:val="Heading2"/>
      </w:pPr>
      <w:r>
        <w:t>Regeste</w:t>
      </w:r>
    </w:p>
    <w:p>
      <w:r>
        <w:t>Assurance-invalidité</w:t>
      </w:r>
    </w:p>
    <w:p>
      <w:pPr>
        <w:pStyle w:val="Heading2"/>
      </w:pPr>
      <w:r>
        <w:t>Erwägungen</w:t>
      </w:r>
    </w:p>
    <w:p>
      <w:r>
        <w:rPr>
          <w:b/>
        </w:rPr>
        <w:t>E. 1.1</w:t>
      </w:r>
    </w:p>
    <w:p>
      <w:r>
        <w:t>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 Lorsque le pouvoir d'examen du Tribunal fédéral des assurances est étendu, de nouveaux moyens de preuves sont en principe admissibles. Ceux-ci doivent toutefois se rapporter à l'état de fait déterminant pour statuer sur la légalité de la décision litigieuse, à savoir l'état de fait existant au moment où celle-ci a été rendue ( ATF 121 V 366 consid. 1b et les arrêts cités).</w:t>
      </w:r>
    </w:p>
    <w:p>
      <w:r>
        <w:rPr>
          <w:b/>
        </w:rPr>
        <w:t>E. 1.2</w:t>
      </w:r>
    </w:p>
    <w:p>
      <w:r>
        <w:t>A l'appui de ses conclusions, le recourant produit deux nouveaux avis médicaux. Le rapport du docteur C.________ (du 12 février 2001) a été établi postérieurement à la décision administrative litigieuse (du 12 octobre 2000). Toutefois, cet avis décrit la même situation médicale que celle qui a été examinée par les experts B.________ et A.________, de sorte qu'il concerne l'état de fait déterminant pour apprécier le bien-fondé de la décision litigieuse. Ce nouveau moyen de droit est dès lors admissible. En revanche, tel n'est pas le cas du certificat du docteur E.________ du 10 septembre 2001. En effet, cette appréciation repose essentiellement sur une péjoration de l'état de santé qui a nécessité, à partir du mois de février 2001, une évaluation psychiatrique et une prise en charge psychothérapeutique pour épisode dépressif sévère. Dans la mesure où il concerne des faits survenus postérieurement à la décision litigieuse, ce nouveau moyen de preuve n'est dès lors pas admissible.</w:t>
      </w:r>
    </w:p>
    <w:p>
      <w:r>
        <w:rPr>
          <w:b/>
        </w:rPr>
        <w:t>E. 2.1</w:t>
      </w:r>
    </w:p>
    <w:p>
      <w:r>
        <w:t>Selon l' art. 28 al. 1 LAI , l'assuré a droit à une rente entière s'il est invalide à 66 2/3 % au moins, à une demi-rente s'il est invalide à 50 % au moins, ou à un quart de rente s'il est invalide à 40 % au moins; dans les cas pénibles, l'assuré peut, d'après l' art. 28 al. 1bis LAI , prétendre une demi-rente s'il est invalide à 40 % au moins.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 art. 28 al. 2 LAI ).</w:t>
      </w:r>
    </w:p>
    <w:p>
      <w:r>
        <w:rPr>
          <w:b/>
        </w:rPr>
        <w:t>E. 2.2</w:t>
      </w:r>
    </w:p>
    <w:p>
      <w:r>
        <w:t>D'après une jurisprudence constante, l'administration est tenue,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convainquants, le juge ne saurait les écarter aussi longtemps qu'aucun indice concret ne permet de douter de leur bien-fondé ( ATF 125 V 353 consid. 3b/bb, 122 V 161 consid. 1c et les références). En outre, il convient de relever qu'une expertise présentée par une partie n'a pas la même valeur que des expertises mises en oeuvre par un tribunal ou par l'administration conformément aux règles de procédure applicables. En vertu des principes énoncés par la jurisprudence concernant l'appréciation des preuves, le juge est toutefois tenu d'examiner si elle est propre à mettre en doute, sur les points litigieux importants, l'opinion ou les conclusions de l'expert mandaté par le tribunal ou par l'administration ( ATF 125 V 354 consid. 3c). 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125 V 352 consid. 3a et les références; VSI 2001 p. 108 consid. 3a).</w:t>
      </w:r>
    </w:p>
    <w:p>
      <w:r>
        <w:rPr>
          <w:b/>
        </w:rPr>
        <w:t>E. 2.3</w:t>
      </w:r>
    </w:p>
    <w:p>
      <w:r>
        <w:t>Dans un arrêt publié dans la pratique VSI 2000 p. 152, le Tribunal fédéral des assurances a défini, en se fondant principalement sur une étude de Mosimann (somatoforme Störungen : Gerichte und [psychiatrische] Gutachten, in RSAS 1999, p. 1 ss et 105 ss), la tâche du médecin ou de l'expert, lorsque celui-ci doit se prononcer sur le caractère invalidant de tels troubles. Selon cette jurisprudence, l'expert doit, sur le plan psychiatrique,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(VSI 2000 p. 155 consid. 2c).</w:t>
      </w:r>
    </w:p>
    <w:p>
      <w:r>
        <w:rPr>
          <w:b/>
        </w:rPr>
        <w:t>E. 3.1</w:t>
      </w:r>
    </w:p>
    <w:p>
      <w:r>
        <w:t>La juridiction cantonale s'est fondée sur l'avis des experts A.________ et B.________. Sur le plan somatique, le docteur A.________ a fait état d'un canal rachidien étroit en L4/L5, d'une spondylodyscarthrose lombaire modérée prédominant en L4/L5, d'une arthrose digitale débutante, d'un BPCO sur tabagisme chronique, d'une hypercholestérolémie et d'un prostatisme. Selon ce médecin, ces troubles sont banals et aucune des affections mentionnées, prise isolément ou en association, n'est propre à entraîner une incapacité significative. Cependant, ces troubles minimes sont à l'origine d'une décompensation psychologique chez un patient fragile. Sur le plan psychique, les experts ont fait état d'un trouble somatoforme douloureux sans comorbidité significative - tel qu'un trouble affectif ou une grave perturbation de la personnalité - et d'un trouble de la personnalité non spécifié. Ces médecins sont d'avis que l'atteinte à la santé, considérée globalement, entraîne une incapacité de travail de 51 % dans l'activité habituelle de tailleur. De son côté, le recourant se réfère à l'appréciation du docteur C.________. Sur le plan somatique, celui-ci fait état de signes évocateurs de troubles dégénératifs lombaires inférieurs sans atteinte irritative neurogène. Selon ce médecin, c'est toutefois essentiellement la problématique psychologique - à savoir un syndrome somatoforme douloureux - qui fait obstacle à une réinsertion professionnelle ou même à la reprise de l'ancienne activité. Pour ce motif, le docteur C.________ est d'avis que le recourant est incapable d'exercer une activité professionnelle même à temps partiel.</w:t>
      </w:r>
    </w:p>
    <w:p>
      <w:r>
        <w:rPr>
          <w:b/>
        </w:rPr>
        <w:t>E. 3.2</w:t>
      </w:r>
    </w:p>
    <w:p>
      <w:r>
        <w:t>En l'occurrence, le diagnostic de syndrome somatoforme douloureux relève d'une classification reconnue (F 45.4, selon la classification internationale des maladies [CIM] de l'Organisation mondiale de la santé). En outre, le docteur B.________ a souligné la perte d'intégration sociale en ce qui concerne le milieu professionnel dans lequel le recourant était apprécié pour ses qualités tant personnelles que professionnelles. A cet égard, le rapport du docteur C.________ repose d'ailleurs sur les mêmes constations que celui des experts mandatés par l'administration. Seule l'appréciation de la capacité de travail diverge sensiblement. Dans la mesure, toutefois, où le docteur C.________ n'expose pas les raisons pour lesquelles il s'écarte de l'appréciation des docteurs A.________ et B.________, son avis n'est pas propre à mettre en doute les conclusions des experts prénommés sur la question de la capacité de travail.</w:t>
      </w:r>
    </w:p>
    <w:p>
      <w:r>
        <w:rPr>
          <w:b/>
        </w:rPr>
        <w:t>E. 3.3</w:t>
      </w:r>
    </w:p>
    <w:p>
      <w:r>
        <w:t>Cela étant, il n'y a pas lieu de s'écarter des conclusions des experts, selon lesquelles le recourant dispose encore d'une capacité de travail de 49 % dans son activité de tailleur. Ainsi, il est encore en mesure de réaliser plus d'un tiers du gain qu'il obtiendrait sans atteinte à la santé, de sorte qu'il ne peut pas prétendre une rente entière d'invalidité ( art. 28 al. 1 LAI ; ATF 104 V 136 consid. 2b). Le jugement entrepris n'est dès lors pas critiquable et le recours se révèle mal fondé. Il n'en demeure pas moins que, si ses troubles se sont aggravés postérieurement au prononcé de la décision litigieuse, le recourant a la faculté de présenter une nouvelle demande, en rendant plausible que son invalidité s'est modifiée de manière à influencer ses droits ( art. 87 al. 3 et 4 RAI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