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I 553/02 vom 2. April 2003</w:t>
      </w:r>
    </w:p>
    <w:p>
      <w:r>
        <w:t>Bundesgericht, 2003-04-02, FR</w:t>
      </w:r>
    </w:p>
    <w:p>
      <w:r>
        <w:rPr>
          <w:b/>
        </w:rPr>
        <w:t xml:space="preserve">Quelle: </w:t>
      </w:r>
      <w:r>
        <w:t>https://mcp.opencaselaw.ch/entscheid/bger_I_553_02</w:t>
      </w:r>
    </w:p>
    <w:p>
      <w:r>
        <w:t>FR: TF I 553/02 du 2 avril 2003</w:t>
      </w:r>
    </w:p>
    <w:p>
      <w:r>
        <w:t>IT: TF I 553/02 del 2 aprile 2003</w:t>
      </w:r>
    </w:p>
    <w:p>
      <w:pPr>
        <w:pStyle w:val="Heading2"/>
      </w:pPr>
      <w:r>
        <w:t>Regeste</w:t>
      </w:r>
    </w:p>
    <w:p>
      <w:r>
        <w:t>Assurance-invalidité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 en ce sens que le jugement de la Commission cantonale de recours AVS-AI du canton de Genève, du 14 mai 2002, est annulé, la cause étant renvoyée à l'autorité judiciaire de première instance pour qu'elle statue à nouveau en procédant conformément aux considérants.</w:t>
      </w:r>
    </w:p>
    <w:p>
      <w:r>
        <w:rPr>
          <w:b/>
        </w:rPr>
        <w:t>E. 2</w:t>
      </w:r>
    </w:p>
    <w:p>
      <w:r>
        <w:t>Il n'est pas perçu de frais de justice.</w:t>
      </w:r>
    </w:p>
    <w:p>
      <w:r>
        <w:rPr>
          <w:b/>
        </w:rPr>
        <w:t>E. 3</w:t>
      </w:r>
    </w:p>
    <w:p>
      <w:r>
        <w:t>La République et canton de Genève versera à l'intimée la somme de 1'000 fr. (y compris la taxe à la valeur ajoutée) à titre de dépens pour l'instance fédérale.</w:t>
      </w:r>
    </w:p>
    <w:p>
      <w:r>
        <w:rPr>
          <w:b/>
        </w:rPr>
        <w:t>E. 4</w:t>
      </w:r>
    </w:p>
    <w:p>
      <w:r>
        <w:t>Le présent arrêt sera communiqué aux parties, à la Commission cantonale de recours en matière d'assurance-vieillesse, survivants et invalidité, à l'Office cantonal AI Genève et à la Caisse cantonale genevoise de compensation. Lucerne, le 2 avril 2003 Au nom du Tribunal fédéral des assurances La Présidente de la IVe Chambre: Le Greffier: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