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I_552/2006 vom 13. Juni 2007</w:t>
      </w:r>
    </w:p>
    <w:p>
      <w:r>
        <w:t>Bundesgericht, 2007-06-13, FR</w:t>
      </w:r>
    </w:p>
    <w:p>
      <w:r>
        <w:rPr>
          <w:b/>
        </w:rPr>
        <w:t xml:space="preserve">Quelle: </w:t>
      </w:r>
      <w:r>
        <w:t>https://mcp.opencaselaw.ch/entscheid/bger_I_552_2006</w:t>
      </w:r>
    </w:p>
    <w:p>
      <w:r>
        <w:t>FR: TF I_552/2006 du 13 juin 2007</w:t>
      </w:r>
    </w:p>
    <w:p>
      <w:r>
        <w:t>IT: TF I_552/2006 del 13 giugno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Est seule litigieuse en procédure fédérale la question du droit du recourant à des mesures d'ordre professionnel. Selon l' art. 132 al. 1 OJ dans sa version selon le ch. III de la loi fédérale du 16 décembre 2005 portant modification de la LAI (en vigueur depuis le 1er juillet 2006), dans une procédure concernant l'octroi ou le refus de prestations d'assurance, le Tribunal de céans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au moment de l'entrée en vigueur de la modification. Dès lors que le recours a été interjeté avant le 1er juillet 2006, le pouvoir d'examen du Tribunal fédéral résulte de l'ancien art. 132 OJ , dont la teneur correspond à celle du nouvel al. 1.</w:t>
      </w:r>
    </w:p>
    <w:p>
      <w:r>
        <w:rPr>
          <w:b/>
        </w:rPr>
        <w:t>E. 3.1</w:t>
      </w:r>
    </w:p>
    <w:p>
      <w:r>
        <w:t>Selon l' art. 28 al. 2 LAI en corrélation avec les art. 7 et 16 LPGA ,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 ATF 108 V 210 ,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 art. 8 al. 1 LAI ). Celles-ci comprennent en particulier des mesures d'ordre professionnel (orientation professionnelle, formation professionnelle initiale, reclassement professionnel, service de placement) ( art. 8 al. 3 let. b LAI ).</w:t>
      </w:r>
    </w:p>
    <w:p>
      <w:r>
        <w:t>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w:t>
      </w:r>
    </w:p>
    <w:p>
      <w:r>
        <w:rPr>
          <w:b/>
        </w:rPr>
        <w:t>E. 3.2</w:t>
      </w:r>
    </w:p>
    <w:p>
      <w:r>
        <w:t>Sur le plan médical, le recourant dispose d'une capacité de travail entière dans une activité adaptée, compte tenu d'un certain nombre de limitations clairement spécifiées par les docteurs K.________ et A.________ (rapports des 10 décembre 2004 et 27 janvier 2005). En exprimant ses réticences lors de l'entretien du 28 février 2005 qu'il a eu avec un responsable de l'office AI, puis en déclarant le 31 mars 2005 son refus de participer à une mesure d'orientation professionnelle aux ateliers X.________, le recourant a exprimé une absence totale de motivation. En rejetant l'idée même d'une mesure d'orientation professionnelle, dont le but était précisément de cerner les possibilités effectives de réadaptation, il a clairement démontré une absence de disposition subjective à la mise en oeuvre de mesures d'ordre professionnel. A l'instar des premiers juges, on ne saurait dès lors faire grief à l'office AI d'avoir mis un terme aux démarches visant à favoriser la réintégration professionnelle du recourant. Sur le vu de ce qui précède, le recourant est malvenu de reprocher aujourd'hui à l'office AI de n'avoir pas su lui offrir des perspectives concrètes et réalistes de reconversion.</w:t>
      </w:r>
    </w:p>
    <w:p>
      <w:r>
        <w:rPr>
          <w:b/>
        </w:rPr>
        <w:t>E. 4.1</w:t>
      </w:r>
    </w:p>
    <w:p>
      <w:r>
        <w:t>Selon l' art. 21 al. 4 LPGA (voir également l' art. 7 al. 1 LAI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t>Le sens et le but de la procédure de mise en demeure prescrite à l' 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I 605/04 du 11 janvier 2005, consid. 2 et les références, publié in SVR 2005 IV n° 30 p. 113; voir également les arrêts I 265/05 du 3 octobre 2005, consid. 4, et I 485/04 du 16 décembre 2004, consid. 6.1).</w:t>
      </w:r>
    </w:p>
    <w:p>
      <w:r>
        <w:rPr>
          <w:b/>
        </w:rPr>
        <w:t>E. 4.2</w:t>
      </w:r>
    </w:p>
    <w:p>
      <w:r>
        <w:t>Ainsi qu'il ressort des pièces figurant au dossier administratif, l'office AI a omis en l'espèce de procéder à la mise en demeure formelle requise par la loi, ce qui constitue une violation du droit fédéral. Nonobstant la volonté clairement exprimée par le recourant, la cause doit être renvoyée à l'office AI afin qu'il statue à nouveau sur le droit à des mesures d'ordre professionnel après avoir procédé à la sommation légale prévue à l' art. 21 al. 4 LPGA . En ce sens,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