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547/00 vom 30. April 2001</w:t>
      </w:r>
    </w:p>
    <w:p>
      <w:r>
        <w:t>Bundesgericht, 2001-04-30, FR</w:t>
      </w:r>
    </w:p>
    <w:p>
      <w:r>
        <w:rPr>
          <w:b/>
        </w:rPr>
        <w:t xml:space="preserve">Quelle: </w:t>
      </w:r>
      <w:r>
        <w:t>https://mcp.opencaselaw.ch/entscheid/bger_I_547_00</w:t>
      </w:r>
    </w:p>
    <w:p>
      <w:r>
        <w:t>FR: TF I 547/00 du 30 avril 2001</w:t>
      </w:r>
    </w:p>
    <w:p>
      <w:r>
        <w:t>IT: TF I 547/00 del 30 aprile 2001</w:t>
      </w:r>
    </w:p>
    <w:p>
      <w:pPr>
        <w:pStyle w:val="Heading2"/>
      </w:pPr>
      <w:r>
        <w:t>Regeste</w:t>
      </w:r>
    </w:p>
    <w:p>
      <w:r>
        <w:t>Assurance-invalidité</w:t>
      </w:r>
    </w:p>
    <w:p>
      <w:pPr>
        <w:pStyle w:val="Heading2"/>
      </w:pPr>
      <w:r>
        <w:t>Erwägungen</w:t>
      </w:r>
    </w:p>
    <w:p>
      <w:r>
        <w:rPr>
          <w:b/>
        </w:rPr>
        <w:t>E. 1</w:t>
      </w:r>
    </w:p>
    <w:p>
      <w:r>
        <w:t>Le litige porte sur le droit du recourant à une demi-rente de l'assurance-invalidité durant la période s'étendant du 1er décembre 1996 au 31 décembre 1997.</w:t>
      </w:r>
    </w:p>
    <w:p>
      <w:r>
        <w:rPr>
          <w:b/>
        </w:rPr>
        <w:t>E. 2</w:t>
      </w:r>
    </w:p>
    <w:p>
      <w:r>
        <w:t>a) A l'appui de ses conclusions, le recourant soutient que l'AI aurait dû suivre la CNA, dès lors que cette dernière avait accepté d'allouer des indemnités journalières en fonction d'un taux d'incapacité de travail de 50 % jusqu'au 31 décembre 1997. Il demande ainsi à la Cour de céans de juger son cas à la lumière de la jurisprudence applicable en matière de coordination de l'évaluation de l'invalidité dans l'assurance-invalidité et dans l'assurance-accidents (cf. ATF 126 V 288 et ATF 119 V 468 ). b) En l'occurrence, pour la période échéant le 31 décembre 1997, la CNA n'a pas alloué une rente d'invalidité ( art. 18 al. 1 LAA ) au recourant, mais des indemnités journalières ( art. 16 al. 1 LAA ). De telles prestations sont versées si l'assuré subit une incapacité de travail, sans qu'il soit pour autant invalide. Dès lors, il n'y a pas matière à appliquer les règles de coordination relatives à l'évaluation de l'invalidité à la solution du présent litige. Au demeurant, même s'il s'était agi d'un cas de coordination du taux d'invalidité dans ces deux assurances sociales, la décision de la CNA n'aurait de toute manière pas lié l'AI. En effet, lorsque la fixation du taux d'invalidité par l'assurance-accidents procède - comme en l'espèce - d'une convention, il ne se justifie plus de faire dépendre le taux estimé par l'AI de celui fixé par la CNA ( ATF 126 V 292 consid. 2b, 112 V 175 consid. 2a). c) Vu ce qui précède, l'AI pouvait statuer sur le droit du recourant à la rente sans tenir compte de la décision de la CNA.</w:t>
      </w:r>
    </w:p>
    <w:p>
      <w:r>
        <w:rPr>
          <w:b/>
        </w:rPr>
        <w:t>E. 3</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Si l'on ne peut déterminer ou évaluer sûrement les deux revenus en cause, il faut, en s'inspirant de la méthode spécifique pour non-actifs ( art. 27 RAI ),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(selon l' art. 28 al. 3 LAI en corrélation avec les art. 26bis et 27 al. 1 RAI )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(procédure extraordinaire d'évaluation; ATF 104 V 136 consid. 2; VSI 1998 p. 122 consid. 1a et p. 257 consid. 2b; Fonjallaz, Invalidité et révision des rentes d'invalidité, thèse Lausanne 1985, pp. 55-56). b) En l'espèce, il est effectivement impossible d'évaluer l'invalidité du recourant en se fondant sur les résultats comptables de son entreprise. Ceux-ci ont subi de fortes variations depuis l'année 1991, pour des raisons principalement étrangères à l'atteinte à la santé. Dans ces conditions, c'est à juste titre que l'administration et les premiers juges ont appliqué la procédure extraordinaire pour évaluer le degré d'invalidité du recourant. Il ressort de la comparaison des activités du recourant que ce dernier a réduit, en raison de son handicap, les travaux (réparation, réglages) qu'il effectue sur des gros moteurs (voitures, camions, etc.). La part de ces travaux (les plus lucratifs) dans le temps global qu'il consacre à son entreprise est ainsi passée de 25 % à 5 %. De concert avec l'inspecteur de l'AI, le recourant a estimé que son handicap physique entraîne une perte de gain qu'il évalue à 25 % (rapport du 3 décembre 1996, ch. 6). Cette appréciation ne paraît pas critiquable et n'est du reste pas vraiment remise en cause par l'intéressé devant la juridiction fédérale. Ses conclusions portant sur le versement d'une demi-rente d'invalidité sont donc mal fondées ( art. 28 al. 1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