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530/00 vom 7. März 2001</w:t>
      </w:r>
    </w:p>
    <w:p>
      <w:r>
        <w:t>Bundesgericht, 2001-03-07, DE</w:t>
      </w:r>
    </w:p>
    <w:p>
      <w:r>
        <w:rPr>
          <w:b/>
        </w:rPr>
        <w:t xml:space="preserve">Quelle: </w:t>
      </w:r>
      <w:r>
        <w:t>https://mcp.opencaselaw.ch/entscheid/bger_I_530_00</w:t>
      </w:r>
    </w:p>
    <w:p>
      <w:r>
        <w:t>FR: TF I 530/00 du 7 mars 2001</w:t>
      </w:r>
    </w:p>
    <w:p>
      <w:r>
        <w:t>IT: TF I 530/00 del 7 marzo 2001</w:t>
      </w:r>
    </w:p>
    <w:p>
      <w:pPr>
        <w:pStyle w:val="Heading2"/>
      </w:pPr>
      <w:r>
        <w:t>Regeste</w:t>
      </w:r>
    </w:p>
    <w:p>
      <w:r>
        <w:t>Invalidenversicherung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w:t>
      </w:r>
    </w:p>
    <w:p>
      <w:r>
        <w:rPr>
          <w:b/>
        </w:rPr>
        <w:t>E. 2</w:t>
      </w:r>
    </w:p>
    <w:p>
      <w:r>
        <w:t>Die Vorinstanz ist auf die Beschwerde, soweit damit die Ausrichtung der Renten ohne Quellensteuerabzug beantragt wurde, mit der Begründung nicht eingetreten, dass für die Beurteilung der Zulässigkeit des Quellensteuerabzuges nicht der Sozialversicherungsrichter, sondern die Veranlagungsbehörde zuständig sei. Der Beschwerdeführer hält dem grundsätzlich zu Recht entgegen, dass die Rechtmässigkeit des Quellensteuerabzuges zwar im Steuerrechtsverfahren zu beurteilen, jedoch vom Sozialversicherungsrichter zu entscheiden ist, ob der verfügte Abzug - wie geltend gemacht - gegen Art. 20 AHVG verstösst. Zu einer Rückweisung der Sache an die Vorinstanz besteht indessen kein Anlass, da im angefochtenen Entscheid hiezu materiell Stellung genommen und ausgeführt wird, dass Art. 20 Abs. 2 AHVG nicht zur Anwendung gelangt und Art. 88 Abs. 1 lit. a des Bundesgesetzes über die direkte Bundessteuer (DBG) als Spezialbestimmung vorgeht, wenn der Quellensteuerabzug im Zeitpunkt der Fälligkeit der Geldleistung getätigt wird (Erw. 1b). Die streitige Frage ist im vorliegenden Verfahren daher materiell zu prüfen.</w:t>
      </w:r>
    </w:p>
    <w:p>
      <w:r>
        <w:rPr>
          <w:b/>
        </w:rPr>
        <w:t>E. 3</w:t>
      </w:r>
    </w:p>
    <w:p>
      <w:r>
        <w:t>a) Nach Art. 20 Abs. 1 AHVG (anwendbar auf die IV gemäss Art. 50 Abs. 1 IVG ) ist jeder Rentenanspruch unabtretbar, unverpfändbar und der Zwangsvollstreckung entzogen; vorbehalten bleiben die Bestimmungen über die Gewährleistung zweckgemässer Rentenverwendung ( Art. 45 AHVG in Verbindung mit Art. 76 AHVV ). Das Abtretungsverbot von Art. 20 Abs. 1 AHVG untersagt dem Versicherten die Zession ( Art. 164 ff. OR ) der ihm gegenüber der AHV/IV zustehenden Forderungen und dient, wie die Unpfändbarkeit der Ansprüche und deren Ausnahme von der Zwangsvollstreckung, der Sicherung des Leistungszwecks. Im vorliegenden Fall geht es nicht um eine Abtretung im Sinne dieser Bestimmung, noch steht eine Massnahme der Zwangsvollstreckung zur Diskussion. Der Beschwerdeführer beruft sich demnach zu Unrecht auf Art. 20 Abs. 1 AHVG . b) aa) Gemäss Art. 20 Abs. 2 AHVG (ebenfalls anwendbar auf die IV nach Art. 50 Abs. 1 IVG ) können fällige Leistungen mit Forderungen aufgrund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 Wie das Eidgenössische Versicherungsgericht wiederholt festgestellt hat, wird durch Art. 20 Abs. 2 AHVG eine eigene Ordnung geschaffen, welche auf die Besonderheiten der Sozialgesetzgebung im AHV-Bereich zugeschnitten ist ( BGE 125 V 321 Erw. 5a mit Hinweisen), und über die obligationenrechtlichen Regeln ( Art. 120 Abs. 1 OR ), wie sie auch im Verwaltungsrecht zur Anwendung gelangen, hinausgeht ( BGE 115 V 342 Erw. 2b und 110 V 185 Erw. 2). Nach den sowohl im Zivilrecht als auch im öffentlichen Recht anwendbaren Grundsätzen setzt die Verrechnung voraus, dass sich Forderungen und Gegenforderungen der gleichen Parteien gegenüberstehen ( BGE 125 V 319 Erw. 4a mit Hinweisen). Mit der auf den 1. Januar 1997 in Kraft getretenen Gesetzesänderung vom 7. Oktober 1994 (AS 1996 2466, 10. AHV-Revision) hat der Gesetzgeber die Verrechnungsmöglichkeit in der AHV/IV dahin erweitert, dass Leistungen auch mit Forderungen aus andern Sozialversicherungen verrechnet werden können. bb) Der von der Ausgleichskasse vorgenommene Abzug von den Leistungen stützt sich auf Art. 84 Abs. 2 DBG und Art. 3 Abs. 1 der Quellensteuerverordnung (QStV) vom 19. Oktober 1993 (vgl. auch Art. 32 Abs. 3 des Bundesgesetzes über die Harmonisierung der direkten Steuern der Kantone und Gemeinden [StHG]). Nach diesen Bestimmungen sind der Quellensteuer alle an die Stelle des Erwerbseinkommens tretenden Ersatzeinkünfte quellensteuerpflichtiger Personen aus Arbeitsverhältnis sowie aus Kranken-, Unfall-, Invaliden- und Arbeitslosenversicherung unterworfen. Gemäss Art. 88 Abs. 1 lit. a DBG ist der Schuldner der steuerbaren Leistung verpflichtet, bei Fälligkeit von Geldleistungen die geschuldete Steuer zurückzubehalten. Ist der Steuerpflichtige oder der Schuldner der steuerbaren Leistung mit dem Steuerabzug nicht einverstanden, kann er bei der Veranlagungsbehörde eine einsprachefähige Verfügung über Bestand und Umfang der Steuerpflicht verlangen ( Art. 137 und 139 DBG ). Nach den Verwaltungsweisungen hat sich die Ausgleichskasse mit der zuständigen Steuerbehörde in Verbindung zu setzen, wenn Anhaltspunkte dafür bestehen, dass eine Quellensteuerpflicht gegeben sein könnte. Die Steuerbehörde teilt ihr mit, ob eine Steuerpflicht besteht und welcher Tarif zur Anwendung gelangt, worauf die Ausgleichskasse den entsprechenden Abzug vornimmt und die Quellensteuer der zuständigen Steuerverwaltung überweist (Rz 28 ff. des Kreisschreibens des Bundesamtes für Sozialversicherung über die Quellensteuer, gültig ab 1. Januar 1995, mit Nachtrag gültig ab 1. Januar 1997). cc) Die Quellensteuer ist eine gesetzlich vorgesehene besondere Art der Steuererhebung, welche darin besteht, dass die geschuldete Steuer durch einen Abzug vom steuerpflichtigen Einkommen (Erwerbseinkommen oder Ersatzeinkünfte) erhoben wird (Zweifel/Athanas [Hrsg. ], Kommentar zum schweizerischen Steuerrecht, Bd. I/1 S. 423 ff. und Bd. I/2b S. 2 ff.; Höhn/Athanas [Hrsg. ], Das neue Bundesrecht über die direkten Steuern, S. 382 ff.). Die Steuer ist nicht vom Leistungsbezüger, sondern vom Schuldner der Leistung, bei sozialversicherungsrechtlichen Ersatzeinkünften somit vom Sozialversicherungsträger zu entrichten (vgl. hiezu Rufener, Zur Erfassung von "Ersatzeinkünften" mit der Quellensteuer nach dem DBG und dem StHG, in ASA 63 S. 97 ff., insbesondere S. 127 f.). Rechtsgrund für die von der Ausgleichskasse vorgenommene Leistungskürzung bildete somit nicht eine Verrechnung, sondern ein auf besonderer gesetzlicher Vorschrift beruhender Steuerbezug an der Quelle. Mit der streitigen Verfügung hat die Ausgleichskasse denn auch nicht Verrechnung erklärt, sondern einen Leistungsabzug vorgenommen, zu dem sie von Gesetzes wegen verpflichtet war. Daraus folgt, dass die für die Verrechnung geltenden Einschränkungen nicht anwendbar sind. Ein Verrechnungstatbestand liegt selbst dann nicht vor, wenn die Rentenzusprechung rückwirkend erfolgt und der Leistungsberechtigte Anspruch auf eine Nachzahlung hat ( Art. 48 IVG ). Anders wäre allenfalls dann zu entscheiden, wenn es um eine Nachforderung von Quellensteuern für nicht oder zu wenig vorgenommene Steuerabzüge geht. Dies ist hier jedoch nicht der Fall. Die Ausgleichskasse war nach dem Gesagten nicht nur berechtigt, sondern auch verpflichtet, die Quellensteuer sowohl von den laufenden Leistungen als auch von der Nachzahlung in Abzug zu bringen, nachdem ihr die Steuerbehörde mitgeteilt hatte, dass die fraglichen Renten der Quellensteuerpflicht unterliegen. Der Vorinstanz ist im Ergebnis daher darin beizupflichten, dass der von der Ausgleichskasse verfügte Quellensteuerabzug rechtens ist und der Beschwerdeführer allfällige Einwendungen gegen Bestand und Umfang der Steuerpflicht im Steuerverfahren geltend zu machen hat ( Art. 137 und 139 DBG ).</w:t>
      </w:r>
    </w:p>
    <w:p>
      <w:r>
        <w:rPr>
          <w:b/>
        </w:rPr>
        <w:t>E. 4</w:t>
      </w:r>
    </w:p>
    <w:p>
      <w:r>
        <w:t>Weil kein Verrechnungstatbestand im Sinne von Art. 20 Abs. 2 AHVG vorliegt, war es nicht Sache der Sozialversicherungsbehörde, die Frage nach der Wahrung des Existenzminimums zu prüfen. Der Quellensteuerpflichtige hat seine Interessen im Steuerverfahren wahrzunehmen, woran entgegen den Ausführungen des Beschwerdeführers nichts ändert, dass die Erlasskriterien teilweise anders umschrieben werden. Nach Art. 167 Abs. 1 DBG kann die Steuer ganz oder teilweise erlassen werden, falls die Bezahlung der Steuer für den Pflichtigen zufolge einer Notlage eine grosse Härte bedeuten würde. Über den Erlass der Quellensteuer entscheidet die für den Erlass von Staats- und Gemeindesteuern zuständige Behörde ( Art. 167 Abs. 2 DBG ). Demnach erkennt das Eidg. Versicherungsgericht: I. Die Verwaltungsgerichtsbeschwerde wird abgewiesen. II. Die Gerichtskosten von Fr. 500.- werden dem Beschwerdeführer auferlegt und mit dem geleisteten Kostenvorschuss verrechnet. III. Dieses Urteil wird den Parteien, dem Sozialversicherungsgericht des Kantons Zürich und dem Bundesamt für Sozialversicherung zugestellt. Luzern, 7. März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