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509/99 vom 15. Februar 2001</w:t>
      </w:r>
    </w:p>
    <w:p>
      <w:r>
        <w:t>Bundesgericht, 2001-02-15, DE</w:t>
      </w:r>
    </w:p>
    <w:p>
      <w:r>
        <w:rPr>
          <w:b/>
        </w:rPr>
        <w:t xml:space="preserve">Quelle: </w:t>
      </w:r>
      <w:r>
        <w:t>https://mcp.opencaselaw.ch/entscheid/bger_I_509_99</w:t>
      </w:r>
    </w:p>
    <w:p>
      <w:r>
        <w:t>FR: TF I 509/99 du 15 février 2001</w:t>
      </w:r>
    </w:p>
    <w:p>
      <w:r>
        <w:t>IT: TF I 509/99 del 15 febbraio 2001</w:t>
      </w:r>
    </w:p>
    <w:p>
      <w:pPr>
        <w:pStyle w:val="Heading2"/>
      </w:pPr>
      <w:r>
        <w:t>Regeste</w:t>
      </w:r>
    </w:p>
    <w:p>
      <w:r>
        <w:t>Invalidenversicherung</w:t>
      </w:r>
    </w:p>
    <w:p>
      <w:pPr>
        <w:pStyle w:val="Heading2"/>
      </w:pPr>
      <w:r>
        <w:t>Erwägungen</w:t>
      </w:r>
    </w:p>
    <w:p>
      <w:r>
        <w:rPr>
          <w:b/>
        </w:rPr>
        <w:t>E. 1</w:t>
      </w:r>
    </w:p>
    <w:p>
      <w:r>
        <w:t>Nach ständiger Rechtsprechung beurteilt der Sozialversicherungsrichter die Rechtmässigkeit der streitigen Verwaltungsverfügung in der Regel nach dem bis zum Zeitpunkt ihrer Eröffnung eingetretenen Sachverhalt ( BGE 121 V 366 Erw. 1b).</w:t>
      </w:r>
    </w:p>
    <w:p>
      <w:r>
        <w:rPr>
          <w:b/>
        </w:rPr>
        <w:t>E. 2</w:t>
      </w:r>
    </w:p>
    <w:p>
      <w:r>
        <w:t>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Die im Anhang zur Verordnung über die Abgabe von Hilfsmitteln durch die Invalidenversicherung (HVI) enthaltene Liste ist insofern abschliessend, als sie die in Frage kommenden Hilfsmittelkategorien aufzählt. Dagegen ist bei jeder Hilfsmittelkategorie zu prüfen, ob die Aufzählung der einzelnen Hilfsmittel (innerhalb der Kategorie) ebenfalls abschliessend oder bloss exemplifikatorisch ist ( BGE 121 V 260 Erw. 2b mit Hinweisen). Gemäss Ziff. 10.05 HVI Anhang (in der von 1. Januar 1997 bis Ende 2000 geltenden Fassung) besteht Anspruch auf invaliditätsbedingte Abänderungen von Motorfahrzeugen, sofern die versicherte Person volljährig ist.</w:t>
      </w:r>
    </w:p>
    <w:p>
      <w:r>
        <w:rPr>
          <w:b/>
        </w:rPr>
        <w:t>E. 3</w:t>
      </w:r>
    </w:p>
    <w:p>
      <w:r>
        <w:t>Im Bericht vom 15. August 1997 stellt Dr. med. B.________ fest, der Einbau einer Klimaanlage in das Auto des Beschwerdeführers sei ärztlich indiziert und notwendig zur Verbesserung bzw. Gewährung der Verkehrssicherheit. Im Rahmen des Postpoliosyndroms würden neurovegetative Symptome auftreten, welche einerseits auf übermässige Temperaturschwankungen, anderseits auch auf Hitze- oder Kälteeinwirkung zurückzuführen seien. Die für das Motorfahrzeug bestimmte Klimaanlage ist daher als Hilfsmittel im Sinne von Ziff. 10.05 HVI Anhang zu qualifizieren (nicht veröffentlichtes Urteil H. vom 7. Juni 1999, I 68/99). Es handelt sich um eine infolge des Gebrechens erforderliche invaliditätsbedingte Abänderung eines Motorfahrzeuges (Ziff. 10.05.1, S. 77 der Wegleitung über die Abgabe von Hilfsmitteln durch die Invalidenversicherung [WHMI], gültig ab 1. Januar 1993). Nachdem die Klimaanlage als Hilfsmittel im Sinne von Art. 21 IVG anzuerkennen und die übrigen Anspruchsvoraussetzungen unbestrittenermassen erfüllt sind, führt dies zur Gutheissung der Verwaltungsgerichtsbeschwerde. Demnach erkennt das Eidg. Versicherungsgericht: I. In Gutheissung der Verwaltungsgerichtsbeschwerde wer- den der Entscheid des Versicherungsgerichts des Kan- tons Aargau vom 22. Juni 1999 und die Verfügung der IV-Stelle des Kantons Aargau vom 23. Dezember 1997 aufgehoben, und es wird festgestellt, dass der Be- schwerdeführer Anspruch auf Kostenübernahme für den Einbau einer Autoklimaanlage hat. II. Es werden keine Gerichtskosten erhoben. III. Die IV-Stelle des Kantons Aargau hat dem Beschwerde- führer für das Verfahren vor dem Eidgenössischen Ver- sicherungsgericht eine Parteientschädigung von Fr. 2500.- (einschliesslich Mehrwertsteuer) zu bezah- len. IV. Das Versicherungsgericht des Kantons Aargau wird über die Parteientschädigung für das kantonale Verfahren entsprechend dem Ausgang des letztinstanzlichen Pro- zesses zu befinden haben. V. Dieses Urteil wird den Parteien, dem Versicherungs- gericht des Kantons Aargau und dem Bundesamt für Sozialversicherung zugestellt. Luzern, 15. Februar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