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I_470/1999 vom 17. Oktober 2000</w:t>
      </w:r>
    </w:p>
    <w:p>
      <w:r>
        <w:t>Bundesgericht, 2000-10-17, DE</w:t>
      </w:r>
    </w:p>
    <w:p>
      <w:r>
        <w:rPr>
          <w:b/>
        </w:rPr>
        <w:t xml:space="preserve">Quelle: </w:t>
      </w:r>
      <w:r>
        <w:t>https://mcp.opencaselaw.ch/entscheid/bger_I_470_1999</w:t>
      </w:r>
    </w:p>
    <w:p>
      <w:r>
        <w:t>FR: TF I_470/1999 du 17 octobre 2000</w:t>
      </w:r>
    </w:p>
    <w:p>
      <w:r>
        <w:t>IT: TF I_470/1999 del 17 ottobre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je mit weiteren Hinweisen) zutreffend dargelegt. Es kann darauf verwiesen werden.</w:t>
      </w:r>
    </w:p>
    <w:p>
      <w:r>
        <w:t>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 lange labiles pathologisches Geschehen besteht und mit medizinischen Vorkehren angegangen wird, seien sie kausal oder symptomatisch, auf das Gundleiden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t>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Verspricht die physiotherapeutische Behandlung - dazu gehören stationäre und ambulante Physiotherapie - nur labiles pathologisches Geschehen zu mildern, so geht sie ebenfalls nicht zu Lasten der Invalidenversicherung ( BGE 108 V 218 Erw. 1a mit Hinweisen).</w:t>
      </w:r>
    </w:p>
    <w:p>
      <w:r>
        <w:t>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der Ärzte Dr. R.________ (vom 24. März 1997) und Dr. H.________ (vom 9. April 1997) sowie den jährlich wiederkehrenden Zeugnissen des Dr. M.________, namentlich zu Recht den Schluss gezogen, dass die bei der Beschwerdegegnerin seit mehr als 20 Jahren durchgeführte stationäre Physiotherapie voraussichtlich dauernd weiter notwendig ist, weshalb die in Frage stehenden Vorkehren nicht auf stabile Folgen der Lähmungen und damit auch nicht auf einen zumindest relativ stabilisierten Zustand gerichtet sind. Bei den umstrittenen Therapien handelt es sich vielmehr primär darum, den durch Überlastungsveränderungen der Wirbelsäule und des Schultergürtels entstandenen Schmerzen sowie der bestehenden grossen Rezidivgefahr durch ständig wiederkehrende therapeutische Behandlungen vorzubeugen bzw. auch allgemein Linderung zu verschaffen und auf diese Weise den Zustand einigermassen im Gleichgewicht zu halten (vgl. Erw. 2d hievor). Die Beschwerdegegnerin hält dazu - wie bereits im erstinstanzlichen Verfahren - denn auch fest, dass "mit zunehmendem Abstand zur jeweils absolvierten Kur" die Wirkung derselben nachlasse, was sich auf ihren Gesundheitszustand negativ auswirke. Damit liegt aber, wie das Bundesamt und die IV- Stelle (vorinstanzliche Vernehmlassung vom 11. Juli 1997) zutreffend darlegen,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der Beschwerdegegnerin nichts zu ändern. Dass die vorgenommenen Behandlungen sich günstig auf die Arbeits- resp. Erwerbsfähigkeit auswirken bzw. für die Erhaltung derselben wesentlich sind, wie in den von der Vorinstanz angeführten Berichten insbesondere der Ärzte Dr. R.________ vom 24. März 1997 und Dr. H.________ vom 9. April 1997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Unter diesen Umständen braucht auf die von der Vorinstanz aufgeworfene Frage nach der Notwendigkeit einer stationären Behandlung nicht eingegangen zu werden, nachdem vorliegendenfalls bereits die Voraussetzungen der Art. 12 Abs. 1 IVG und Art. 2 Abs. 3 IVV für die Übernahme von ambulanter Physiotherapie durch die Invalidenversicherung nicht erfüllt sind ( BGE 108 V 217 ). Es wird im Übrigen auf die zutreffenden Darlegungen der Verwaltung, insbesondere des Bundesamtes in seiner Verwaltungsgerichtsbeschwerde, verwiesen, denen das Eidgenössische Versicherungsgericht nichts beizufügen hat.</w:t>
      </w:r>
    </w:p>
    <w:p>
      <w:r>
        <w:t>Demnach erkennt das Eidg. Versicherungsgericht:</w:t>
      </w:r>
    </w:p>
    <w:p>
      <w:r>
        <w:t>I.In Gutheissung der Verwaltungsgerichtsbeschwerde wird derEntscheiddesVersicherungsgerichtsdesKantons Basel-Landschaft vom 4. November 1998 aufgehoben.</w:t>
      </w:r>
    </w:p>
    <w:p>
      <w:r>
        <w:t>II.Es werden keine Gerichtskosten erhoben.</w:t>
      </w:r>
    </w:p>
    <w:p>
      <w:r>
        <w:t>III. Dieses Urteil wird den Parteien, dem Versicherungsgericht des Kantons Basel-Landschaft und der IV-Stelle Basel-Landschaft zugestellt.</w:t>
      </w:r>
    </w:p>
    <w:p>
      <w:r>
        <w:t>Luzern, 17. Oktober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