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469/00 vom 27. August 2001</w:t>
      </w:r>
    </w:p>
    <w:p>
      <w:r>
        <w:t>Bundesgericht, 2001-08-27, DE</w:t>
      </w:r>
    </w:p>
    <w:p>
      <w:r>
        <w:rPr>
          <w:b/>
        </w:rPr>
        <w:t xml:space="preserve">Quelle: </w:t>
      </w:r>
      <w:r>
        <w:t>https://mcp.opencaselaw.ch/entscheid/bger_I_469_00</w:t>
      </w:r>
    </w:p>
    <w:p>
      <w:r>
        <w:t>FR: TF I 469/00 du 27 août 2001</w:t>
      </w:r>
    </w:p>
    <w:p>
      <w:r>
        <w:t>IT: TF I 469/00 del 27 agosto 2001</w:t>
      </w:r>
    </w:p>
    <w:p>
      <w:pPr>
        <w:pStyle w:val="Heading2"/>
      </w:pPr>
      <w:r>
        <w:t>Regeste</w:t>
      </w:r>
    </w:p>
    <w:p>
      <w:r>
        <w:t>Invalidenversicherung</w:t>
      </w:r>
    </w:p>
    <w:p>
      <w:pPr>
        <w:pStyle w:val="Heading2"/>
      </w:pPr>
      <w:r>
        <w:t>Erwägungen</w:t>
      </w:r>
    </w:p>
    <w:p>
      <w:r>
        <w:rPr>
          <w:b/>
        </w:rPr>
        <w:t>E. 1</w:t>
      </w:r>
    </w:p>
    <w:p>
      <w:r>
        <w:t>Der grundsätzliche Anspruch von T.________ auf einen Reha-Buggy ist ausgewiesen und unbestritten. Der Anspruch erstreckt sich auch auf das invaliditätsbedingt notwendige Zubehör und die invaliditätsbedingten Anpassungen ( Art. 2 Abs. 3 HVI ). Anderseits besteht nur Anspruch auf Hilfsmittel in einfacher und zweckmässiger Ausführung. Durch eine andere Ausführung bedingte zusätzliche Kosten hat der Versicherte selber zu tragen ( Art. 21 Abs. 3 IVG ; Art. 2 Abs. 4 HVI ). Ersetzt ein Hilfsmittel Gegenstände, die auch ohne Invalidität angeschafft werden müssen, so kann eine Kostenbeteiligung auferlegt werden ( Art. 21 Abs. 3 IVG ).</w:t>
      </w:r>
    </w:p>
    <w:p>
      <w:r>
        <w:rPr>
          <w:b/>
        </w:rPr>
        <w:t>E. 2</w:t>
      </w:r>
    </w:p>
    <w:p>
      <w:r>
        <w:t>a) Die Vorinstanz geht davon aus, dass die IV-Stelle mit Schreiben vom 20. August 1999 die Abgabe eines Reha-Buggys gemäss Kostenvoranschlag im Betrage von Fr. 5352. 60 zugesichert habe. Der Vater des Beschwerdegegners könne sich aber trotz der, gesetzmässig betrachtet, richtigen Verfügung vom 23. Dezember 1999 auf den Vertrauensschutz berufen. b) Entgegen der Annahme der Vorinstanz handelte es sich beim Schreiben vom 20. August 1999 lediglich um einen Entwurf einer (nicht unterzeichneten) Mitteilung, welche dem Vater des Beschwerdegegners nie zugestellt worden ist. Dieser erhielt von diesem Schriftstück erst durch den vorinstanzlichen Entscheid Kenntnis, mithin zu einem Zeitpunkt, als er den Kinderwagen bereits gekauft hatte. Er hatte deshalb im Vertrauen auf die bloss in Unkenntnis der Sachlage von der Vorinstanz angenommene, in Wirklichkeit nie abgegebene Auskunft der IV-Stelle, gar keine Dispositionen getroffen, sodass er sich schon aus diesem Grunde nicht auf den Vertrauensschutz berufen kann.</w:t>
      </w:r>
    </w:p>
    <w:p>
      <w:r>
        <w:rPr>
          <w:b/>
        </w:rPr>
        <w:t>E. 3</w:t>
      </w:r>
    </w:p>
    <w:p>
      <w:r>
        <w:t>Wie die Vorinstanz zutreffend ausführt, erweist sich die Verfügung vom 23. Dezember 1999 als rechtmässig. Sie beruht auf einer Abklärung der neutralen Stelle des SAHB vom 8. Oktober 1999. Was der Beschwerdegegner vorbringt, vermag deren Schlussfolgerungen nicht zu widerlegen. Dies führt zur Gutheissung der Verwaltungsgerichtsbeschwerde. Demnach erkennt das Eidg. Versicherungsgericht: I.In Gutheissung der Verwaltungsgerichtsbeschwerde wird der Entscheid des Obergerichts des Kantons Schaffhausen vom 23. Juni 2000 aufgehoben. II.Es werden keine Gerichtskosten erhoben. III. Dieses Urteil wird den Parteien, dem Obergericht des Kantons Schaffhausen, der Ausgleichskasse des Kantons Schaffhausen und dem Bundesamt für Sozialversicherung zugestellt. Luzern, 27. August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