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451/01 vom 28. Mai 2002</w:t>
      </w:r>
    </w:p>
    <w:p>
      <w:r>
        <w:t>Bundesgericht, 2002-05-28, FR</w:t>
      </w:r>
    </w:p>
    <w:p>
      <w:r>
        <w:rPr>
          <w:b/>
        </w:rPr>
        <w:t xml:space="preserve">Quelle: </w:t>
      </w:r>
      <w:r>
        <w:t>https://mcp.opencaselaw.ch/entscheid/bger_I_451_01</w:t>
      </w:r>
    </w:p>
    <w:p>
      <w:r>
        <w:t>FR: TF I 451/01 du 28 mai 2002</w:t>
      </w:r>
    </w:p>
    <w:p>
      <w:r>
        <w:t>IT: TF I 451/01 del 28 maggio 2002</w:t>
      </w:r>
    </w:p>
    <w:p>
      <w:pPr>
        <w:pStyle w:val="Heading2"/>
      </w:pPr>
      <w:r>
        <w:t>Regeste</w:t>
      </w:r>
    </w:p>
    <w:p>
      <w:r>
        <w:t>Assurance-invalidité</w:t>
      </w:r>
    </w:p>
    <w:p>
      <w:pPr>
        <w:pStyle w:val="Heading2"/>
      </w:pPr>
      <w:r>
        <w:t>Erwägungen</w:t>
      </w:r>
    </w:p>
    <w:p>
      <w:r>
        <w:rPr>
          <w:b/>
        </w:rPr>
        <w:t>E. 1</w:t>
      </w:r>
    </w:p>
    <w:p>
      <w:r>
        <w:t>Le litige porte sur le taux d'invalidité du recourant à partir du 1er janvier 1999.</w:t>
      </w:r>
    </w:p>
    <w:p>
      <w:r>
        <w:rPr>
          <w:b/>
        </w:rPr>
        <w:t>E. 2</w:t>
      </w:r>
    </w:p>
    <w:p>
      <w:r>
        <w:t>Selon la jurisprudence, une décision par laquelle l'assurance-invalidité accorde une rente d'invalidité avec effet rétroactif et, en même temps, prévoit la réduction de cette rente correspond à une décision de révision au sens de l' art. 41 LAI ( ATF 106 V 16 ; Meyer-Blaser, Rechtsprechung des Bundesgerichts zum IVG, p. 254; voir aussi RCC 1984 p. 138 consid. 3). Aux termes de cette disposition légale, si l'invalidité d'un bénéficiaire de rente se modifie de manière à influencer le droit à la rente, celle-ci est, pour l'avenir, augmentée, réduite ou supprimée.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 ATF 125 V 369 consid. 2 et la référence; voir également ATF 112 V 372 consid. 2b et 390 consid. 1b).</w:t>
      </w:r>
    </w:p>
    <w:p>
      <w:r>
        <w:rPr>
          <w:b/>
        </w:rPr>
        <w:t>E. 3</w:t>
      </w:r>
    </w:p>
    <w:p>
      <w:r>
        <w:t>a) Le droit du recourant à une rente entière d'invalidité, fondée sur un degré d'invalidité de 100 %, n'est pas litigieux pour la période qui s'étend du 1er juin 1997 au 31 décembre 1998. Durant celle-ci, il a été totalement incapable de travailler en raison du rejet de deux greffes de cornées. b) Dans l'affaire parallèle qui oppose le recourant à la CNA (U 228/01), le Tribunal fédéral des assurances a confirmé la légalité du taux d'invalidité retenu par l'assurance-accidents (35 % dès le 1er janvier 1999), par arrêt de ce jour aux motifs duquel on renvoie. En l'espèce, il ne ressort pas du dossier de l'assurance-invalidité que la capacité de travail du recourant serait restreinte en raison d'autres atteintes à la santé que celle qui a justifié le versement de prestations de la part de la CNA, c'est-à-dire une vision fonctionnellement monophtalme. En conséquence et conformément à la jurisprudence relative à la coordination de l'invalidité entre ces deux assurances sociales ( ATF 126 V 288 ), le taux d'invalidité retenu par l'assureur-accidents à partir du 1er janvier 1999 (35 %) s'applique aussi pour statuer sur le droit du recourant à une rente de l'assurance-invalidité. L'intimé a donc appliqué correctement l' art. 41 LAI en supprimant la rente dès le 1er janvier 1999, car le degré d'invalidité du recourant était à ce moment-là inférieur à la limite des 40 % (cf. art. 28 al. 1 LAI ) qui ouvre droit à cette prestation.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