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I_450/2001 vom 20. Februar 2003</w:t>
      </w:r>
    </w:p>
    <w:p>
      <w:r>
        <w:t>Bundesgericht, 2003-02-20, FR</w:t>
      </w:r>
    </w:p>
    <w:p>
      <w:r>
        <w:rPr>
          <w:b/>
        </w:rPr>
        <w:t xml:space="preserve">Quelle: </w:t>
      </w:r>
      <w:r>
        <w:t>https://mcp.opencaselaw.ch/entscheid/bger_I_450_2001</w:t>
      </w:r>
    </w:p>
    <w:p>
      <w:r>
        <w:t>FR: TF I_450/2001 du 20 février 2003</w:t>
      </w:r>
    </w:p>
    <w:p>
      <w:r>
        <w:t>IT: TF I_450/2001 del 20 febbraio 2003</w:t>
      </w:r>
    </w:p>
    <w:p>
      <w:pPr>
        <w:pStyle w:val="Heading2"/>
      </w:pPr>
      <w:r>
        <w:t>Erwägungen</w:t>
      </w:r>
    </w:p>
    <w:p>
      <w:r>
        <w:rPr>
          <w:b/>
        </w:rPr>
        <w:t>E. 1.1</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Il peut, par ailleurs admettre ou rejeter un recours sans égard aux griefs soulevés par le recourant ou aux raisons retenues par le premier juge ( ATF 125 V 500 consid. 1, 124 V 340 consid. 1b et les références).</w:t>
      </w:r>
    </w:p>
    <w:p>
      <w:r>
        <w:rPr>
          <w:b/>
        </w:rPr>
        <w:t>E. 1.2</w:t>
      </w:r>
    </w:p>
    <w:p>
      <w:r>
        <w:t>De jurisprudence constante, cet examen porte d'office, en particulier, sur les conditions formelles de validité et de régularité de la procédure précédente ( ATF 125 V 23 consid. 1a, 500 consid. 1, 123 V 327 consid. 1, 122 V 322 consid. 1, 329 s. consid. 5 et les références citées), parmi lesquelles l'exigence d'un tribunal établi par la loi, compétent, indépendant et impartial.</w:t>
      </w:r>
    </w:p>
    <w:p>
      <w:r>
        <w:rPr>
          <w:b/>
        </w:rPr>
        <w:t>E. 1.3.1</w:t>
      </w:r>
    </w:p>
    <w:p>
      <w:r>
        <w:t>Conformément à l' art. 30 al. 1 Cst. - qui, de ce point de vue, a la même portée que l'art. 6 § 1 CEDH ( ATF 127 I 198 consid. 2b, 125 V 501 consid. 2b)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128 V 84 consid. 2a, 123 I 51 consid. 2b).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 114 Ia 53 consid. 3b).</w:t>
      </w:r>
    </w:p>
    <w:p>
      <w:r>
        <w:rPr>
          <w:b/>
        </w:rPr>
        <w:t>E. 1.3.2</w:t>
      </w:r>
    </w:p>
    <w:p>
      <w:r>
        <w:t>C'est en premier lieu à la lumière des règles cantonales topiques d'organisation et de procédure qu'il convient d'examiner si une autorité judiciaire ou administrative a statué dans une composition conforme à la loi. Sur ce point, le pouvoir d'examen du Tribunal fédéral des assurances est limité à l'arbitraire ( ATF 127 I 130 consid. 3c, 108 Ia 50 consid. 2 et les références). Indépendamment de cela, il examine librement - et sans être lié par les griefs soulevés (consid. 2b non publié de l' ATF 117 V 50 ; SVR 2001 IV no 17 p. 49) - si l'interprétation et l'application du droit cantonal, reconnues non arbitraires, sont compatibles avec la garantie d'un tribunal établi par la loi, compétent, indépendant et impartial ( ATF 126 I 73 consid. 3b, 123 I 51 consid. 2b, 112 Ia 292 consid. 2a, 105 Ia 174 consid. 2b). En revanche, lorsque cette garantie constitutionnelle est invoquée uniquement pour contester l'interprétation ou l'application de prescriptions cantonales sur l'organisation et la composition des tribunaux, sans que soient invoquées les exigences minimales de procédure instituées par cette disposition, ce grief se confond avec celui déduit de l'interdiction de l'arbitraire ( ATF 110 Ia 107 consid. 1; 105 Ia 174 consid. 3a; 98 Ia 359 consid. 2; 91 I 400 consid. b; SJ 1981 574 consid. 2a).</w:t>
      </w:r>
    </w:p>
    <w:p>
      <w:r>
        <w:t>Ces principes développés en application de l' art. 58 aCst. demeurent valables en application de l' art. 30 Cst. (consid. 1a non publié de l' ATF 126 V 303 ).</w:t>
      </w:r>
    </w:p>
    <w:p>
      <w:r>
        <w:rPr>
          <w:b/>
        </w:rPr>
        <w:t>E. 2</w:t>
      </w:r>
    </w:p>
    <w:p>
      <w:r>
        <w:t>En l'espèce, le jugement du 29 mai 2001 a été rendu par la Commission cantonale genevoise de recours en matière d'AVS/AI. Le rubrum de ce jugement indique que l'un de ses membres, «excusé» était absent. Il convient donc tout d'abord d'examiner si l'autorité cantonale pouvait statuer en l'absence de l'un de ses membres, sans interpréter ou appliquer arbitrairement les dispositions cantonales de procédure qui la régissent.</w:t>
      </w:r>
    </w:p>
    <w:p>
      <w:r>
        <w:rPr>
          <w:b/>
        </w:rPr>
        <w:t>E. 2.1</w:t>
      </w:r>
    </w:p>
    <w:p>
      <w:r>
        <w:t>Conformément à l'art. 17 de la loi genevoise d'application de la loi fédérale sur l'assurance-vieillesse et survivants (loi genevoise du 13 décembre 1947; RS GE J 7 05), il est institué, en application de l' art. 85 al. 1 LAVS , une commission cantonale de recours nommée pour 4 ans au début de chaque législature (al. 1). La commission est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La commission siège dans une composition de cinq membres, constituée d'un président titulaire ou suppléant et de quatre assesseurs, qui siègent à tour de rôle (al. 3).</w:t>
      </w:r>
    </w:p>
    <w:p>
      <w:r>
        <w:t>L'art. 20 de cette loi confère en outre au Conseil d'Etat la compétence d'établir le règlement de la commission. En application de cette disposition, le Conseil d'Etat genevois a édicté le Règlement de la commission cantonale de recours en matière d'assurance-vieillesse et survivants, d'assurance-invalidité, d'allocations pour perte de gain et de prestations fédérales et cantonales complémentaires à l'AVS-AI, du 27 octobre 1993 (RS GE J 7 05.20). Aux termes de l'art. 2 de ce règlement, la commission est composée conformément à l'art. 17 de la loi cantonale. Par ailleurs, sous le titre «quorum», l'art. 5 du règlement prévoit que pour siéger valablement, la commission doit comprendre le président ou l'un de ses suppléants, ainsi qu'au moins trois membres ou suppléants sur quatre.</w:t>
      </w:r>
    </w:p>
    <w:p>
      <w:r>
        <w:rPr>
          <w:b/>
        </w:rPr>
        <w:t>E. 2.2</w:t>
      </w:r>
    </w:p>
    <w:p>
      <w:r>
        <w:t>Dans la mesure où la commission a fait application de cette disposition réglementaire, qui lui permet de statuer valablement lorsqu'un quorum de quatre membres sur cinq est réuni, ni l'interprétation ni l'application de cette disposition ne sauraient être qualifiées d'arbitraires.</w:t>
      </w:r>
    </w:p>
    <w:p>
      <w:r>
        <w:t>Il convient donc d'examiner (librement) si l'application de ces règles cantonales, ainsi reconnue non arbitraire, respecte les garanties déduites de l' art. 30 Cst.</w:t>
      </w:r>
    </w:p>
    <w:p>
      <w:r>
        <w:rPr>
          <w:b/>
        </w:rPr>
        <w:t>E. 3.1</w:t>
      </w:r>
    </w:p>
    <w:p>
      <w:r>
        <w:t>Selon la jurisprudence rendue en application des art. 30 Cst. et 58 aCst., lorsqu'une autorité est constituée d'un nombre déterminé de membres, ces derniers doivent - sous réserve d'une réglementation dérogatoire - tous participer au jugement. L'autorité qui statue dans une composition incomplète, sans que la loi prévoie un quorum correspondant, commet un déni de justice formel ( ATF 127 I 131 consid. 4b, 85 I 273 et les réf.; cf. aussi ATF 114 Ia 276 consid. 2a). En elle-même, l'institution d'un quorum pour une autorité collégiale, particulièrement judiciaire, n'est donc pas inadmissible et il en existe, au demeurant, de nombreux exemples dans la législation fédérale (cf., p. ex.: art. 15 OJ ; art. 2 du Règlement du Tribunal arbitral de la Commission fédérale de l'AVS/AI, du 11 octobre 1972; RS 831.143.15). Elle l'est d'autant moins lorsque la représentativité des membres de l'autorité judiciaire est exclusivement politique et qu'ils sont tous censés disposer de compétences équivalentes, ce qui est le cas en l'espèce (cf. art. 17 al. 2 de la loi, qui mentionne les «assesseurs familiarisés avec les questions juridiques, fiscales ou d'assurances sociales»).</w:t>
      </w:r>
    </w:p>
    <w:p>
      <w:r>
        <w:rPr>
          <w:b/>
        </w:rPr>
        <w:t>E. 3.2</w:t>
      </w:r>
    </w:p>
    <w:p>
      <w:r>
        <w:t>Au regard du principe de la légalité - dont le respect peut être contrôlé par le Tribunal fédéral lorsqu'il est en relation avec une autre garantie constitutionnelle, le principe d'égalité de traitement ou l'interdiction de l'arbitraire (cf. art. 36 al. 1 Cst. ; ATF 127 I 67 consid. 3a) -, l'organisation judiciaire doit, en principe, reposer sur une loi au sens formel. Celle-ci peut cependant fort bien ne contenir que les principes fondamentaux relatifs à l'organisation et à la compétence des tribunaux et confier à l'exécutif le soin de régler les modalités de détail (Auer, Malinverni, Hottelier, Droit constitutionnel suisse, vol. II, Berne 2000, note 1232, p. 589). La jurisprudence a ainsi notamment admis la participation à la décision de juges suppléants institués par une disposition réglementaire cantonale ( ATF 105 Ia 172 ) ou encore que la nomination d'un juge d'instruction pénale extraordinaire repose sur une disposition réglementaire prévoyant uniquement le remplacement de certains magistrats, disposition qui reposait elle-même sur une délégation de compétence (arrêt non publié V. du 26 janvier 2001 [1P.751/2000]). Le droit fédéral connaît, du reste, également des cas dans lesquels l'organisation et la composition d'une autorité - ainsi qu'un quorum - reposent sur une ordonnance du Conseil fédéral édictée sur la base d'une délégation de compétence explicite (cf. art. 54 al. 2 et 3 LAVS et art. 2 du Règlement du Tribunal arbitral de la Commission fédérale de l'AVS/AI, du 11 octobre 1972; RS 831.143.15).</w:t>
      </w:r>
    </w:p>
    <w:p>
      <w:r>
        <w:t>Il s'ensuit que le seul fait qu'une règle de quorum - en soi admissible (v. supra consid. 3.1) - est contenue dans un règlement d'application et non dans une loi au sens formel, ne viole pas la garantie de l' art. 30 al. 1 Cst. Cela suppose toutefois encore que la délégation de compétence comporte celle d'instituer un quorum.</w:t>
      </w:r>
    </w:p>
    <w:p>
      <w:r>
        <w:rPr>
          <w:b/>
        </w:rPr>
        <w:t>E. 3.3</w:t>
      </w:r>
    </w:p>
    <w:p>
      <w:r>
        <w:t>En l'espèce, la délégation de compétence figure à l'art. 20 de la loi dont la teneur est la suivante: «Le Conseil d'Etat établit le règlement de la commission». Rédigée en termes très généraux, cette norme attributive de compétence emporte certes la faculté d'édicter des règles de procédure, dans la mesure où une autre loi cantonale n'est pas applicable (cf. le renvoi de l'art. 7 du règlement aux art. 89A à 89H de la loi genevoise sur la procédure administrative, ainsi que le renvoi de l'art. 89A aux règles générales de cette même loi). En revanche, les dispositions réglementaires ne sauraient déroger aux règles cantonales de rang supérieur, ce qui s'impose tant au regard du principe de la hiérarchie des normes que de celui de la séparation des pouvoirs.</w:t>
      </w:r>
    </w:p>
    <w:p>
      <w:r>
        <w:t>Sous cet angle, l'art. 17 de la loi cantonale distingue, d'une part, la composition organique de la commission,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et, d'autre part, la composition dans laquelle elle siège, soit cinq membres comptant un président titulaire ou suppléant et quatre assesseurs, siégeant à tour de rôle (al. 3). Or, dans la mesure où la loi règle de la sorte - à l'instar de la règle fédérale prévue à l' art. 15 OJ («quorum») - non seulement la désignation des membres de la commission (al. 2), mais également la manière dont cette dernière doit siéger (al. 3) et, partant, statuer, il ne demeure pas place pour une réglementation dérogatoire de rang inférieur.</w:t>
      </w:r>
    </w:p>
    <w:p>
      <w:r>
        <w:t>Il résulte de ce qui précède qu'en l'absence de l'un de ses membres, la commission n'était pas composée conformément à la loi, ce qui constitue une violation de l' art. 30 al. 1 Cst. Ce vice entraîne l'annulation du jugement entrepris et le renvoi de la cause à l'autorité judiciaire cantonale afin qu'elle statue à nouveau dans une composition conforme à la loi.</w:t>
      </w:r>
    </w:p>
    <w:p>
      <w:r>
        <w:rPr>
          <w:b/>
        </w:rPr>
        <w:t>E. 4</w:t>
      </w:r>
    </w:p>
    <w:p>
      <w:r>
        <w:t>La recourante, qui s'est fait assister d'un avocat, n'obtient gain de cause qu'en ce qui concerne une conclusion subsidiaire, si bien qu'elle ne peut prétendre qu'une indemnité de dépens réduite (art. 159 al. 1 en corrélation avec l' art. 135 OJ ; RCC 1985 p. 664 consid. 5). Les motifs du présent arrêt constituent, par ailleurs, des circonstances justifiant que ces dépens soient mis à la charge de la République et canton de Genève et non de l'office intimé (arrêt non publié F. du 6 juillet 1994 [I 56/94]).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