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449/01 vom 27. Dezember 2001</w:t>
      </w:r>
    </w:p>
    <w:p>
      <w:r>
        <w:t>Bundesgericht, 2001-12-27, FR</w:t>
      </w:r>
    </w:p>
    <w:p>
      <w:r>
        <w:rPr>
          <w:b/>
        </w:rPr>
        <w:t xml:space="preserve">Quelle: </w:t>
      </w:r>
      <w:r>
        <w:t>https://mcp.opencaselaw.ch/entscheid/bger_I_449_01</w:t>
      </w:r>
    </w:p>
    <w:p>
      <w:r>
        <w:t>FR: TF I 449/01 du 27 décembre 2001</w:t>
      </w:r>
    </w:p>
    <w:p>
      <w:r>
        <w:t>IT: TF I 449/01 del 27 dicembre 2001</w:t>
      </w:r>
    </w:p>
    <w:p>
      <w:pPr>
        <w:pStyle w:val="Heading2"/>
      </w:pPr>
      <w:r>
        <w:t>Regeste</w:t>
      </w:r>
    </w:p>
    <w:p>
      <w:r>
        <w:t>Assurance-invalidité</w:t>
      </w:r>
    </w:p>
    <w:p>
      <w:pPr>
        <w:pStyle w:val="Heading2"/>
      </w:pPr>
      <w:r>
        <w:t>Erwägungen</w:t>
      </w:r>
    </w:p>
    <w:p>
      <w:r>
        <w:rPr>
          <w:b/>
        </w:rPr>
        <w:t>E. 1</w:t>
      </w:r>
    </w:p>
    <w:p>
      <w:r>
        <w:t>Le litige porte sur le droit de l'intimé à une rente d'invalidité, de sorte que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 Il peut admettre ou rejeter un recours sans égard aux griefs soulevés par le recourant ou aux raisons retenues par les premiers juges (art. 114 al. 1 en corrélation avec l' art. 132 OJ ; ATF 122 V 36 consid. 2b).</w:t>
      </w:r>
    </w:p>
    <w:p>
      <w:r>
        <w:rPr>
          <w:b/>
        </w:rPr>
        <w:t>E. 2</w:t>
      </w:r>
    </w:p>
    <w:p>
      <w:r>
        <w:t>a) Le jugement entrepris expose de manière exacte les dispositions applicables à la présente affaire ( art. 4 et 28 LAI ). Il y a lieu de préciser que selon la jurisprudence, la notion d'invalidité, au sens du droit des assurances sociales, est une notion économique et non médicale; ce sont les conséquences économiques objectives de l'incapacité fonctionnelle qu'il importe d'évaluer (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 ATF 115 V 133 consid. 2, 105 V 158 consid. 1). b) S'agissant de l'appréciation de la valeur probante d'un rapport médical, il convient de déterminer si les points litigieux importants ont fait l'objet d'une étude fouillée, si le rapport se fonde sur des examens complets, s'il prend également en considération les plaintes exprimées, s'il a été établi en pleine connaissance du dossier (anamnèse), si la description du contexte médical est claire et enfin si les conclusions de l'expert sont bien motivées ( ATF 125 V 352 consid. 3a et les références). En cas de doute, même léger, sur le caractère pertinent ou complet des rapports médicaux figurant au dossier, le juge doit faire procéder lui-même à une expertise ou renvoyer la cause à l'assureur social pour instruction complémentaire ( ATF 122 V 162 consid. 1d).</w:t>
      </w:r>
    </w:p>
    <w:p>
      <w:r>
        <w:rPr>
          <w:b/>
        </w:rPr>
        <w:t>E. 3</w:t>
      </w:r>
    </w:p>
    <w:p>
      <w:r>
        <w:t>En l'espèce, les données médicales sont déterminantes pour décider des conséquences économiques de l'incapacité fonctionnelle de l'intimé, dans la mesure où l'on ne possède aucune information économique permettant d'évaluer sa capacité de gain résiduelle. Or, on constate que sur ce point le dossier de l'administration est lacunaire. En effet, deux des trois rapports médicaux à disposition, tous établis par le docteur E.________, médecin traitant de l'intimé, se limitent à un résumé des antécédents pathologiques de ce dernier. Seul le rapport du 26 février 1998 expose brièvement l'évolution de son état de santé, sans toutefois indiquer quelles sont les limitations fonctionnelles qui résultent des affections dont souffre P.________. En outre, le médecin ne se prononce pas de manière concrète sur la capacité de travail résiduelle de son patient, se contentant d'indiquer que ce dernier disposerait "éventuellement" d'une capacité de travail à 50 % dans une activité adaptée à son problème postphlébitique (rapport du 26 juillet 2000). Les conclusions du médecin ne permettent pas, d'une part, de déterminer avec certitude le taux de capacité résiduelle de travail de l'intimé. D'autre part, elles ne donnent aucune indication sur les activités que l'on pourrait raisonnablement exiger de lui. Par ailleurs, le médecin traitant mentionne le fait que P.________ est un "patient borderline" (rapport du 26 février 1998) et souffre d'un "état dépressif chronique" (rapport du 26 juillet 2000). Or, ces indices d'une atteinte d'ordre psychique n'ont pas fait l'objet d'un examen plus approfondi, alors même que leur influence sur la capacité de gain résiduelle de l'intimé ne saurait être exclue d'emblée. Dans ces conditions, les faits n'ont pas été établis à suffisance, de sorte qu'il convient de renvoyer la cause au recourant pour instruction complémentaire sur la capacité de travail résiduelle de l'intimé sous l'angle physique et psychique.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