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I 448/00 vom 29. November 2000</w:t>
      </w:r>
    </w:p>
    <w:p>
      <w:r>
        <w:t>Bundesgericht, 2000-11-29, IT</w:t>
      </w:r>
    </w:p>
    <w:p>
      <w:r>
        <w:rPr>
          <w:b/>
        </w:rPr>
        <w:t xml:space="preserve">Quelle: </w:t>
      </w:r>
      <w:r>
        <w:t>https://mcp.opencaselaw.ch/entscheid/bger_I_448_00</w:t>
      </w:r>
    </w:p>
    <w:p>
      <w:r>
        <w:t>FR: TF I 448/00 du 29 novembre 2000</w:t>
      </w:r>
    </w:p>
    <w:p>
      <w:r>
        <w:t>IT: TF I 448/00 del 29 novembre 2000</w:t>
      </w:r>
    </w:p>
    <w:p>
      <w:pPr>
        <w:pStyle w:val="Heading2"/>
      </w:pPr>
      <w:r>
        <w:t>Regeste</w:t>
      </w:r>
    </w:p>
    <w:p>
      <w:r>
        <w:t>Assicurazione per l'invalidità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lite avente per oggetto il pagamento di prestazioni assicurative in mano di terzi - in concreto il versamento della rendita completiva per la moglie direttamente a quest'ultima - non verte sull'assegnazione o il rifiuto di prestazioni assicurative ( DTF 118 V 90 consid. 1a con riferimenti; cfr. DTF 121 V 18 consid. 2). Il Tribunale federale delle assicurazioni deve pertanto limitarsi ad esaminare se il giudizio di primo grado abbia violato il diritto federale, compreso l'eccesso o l'abuso del potere d'apprezzamento, oppure se l'accertamento dei fatti sia manifestamente inesatto, incompleto od avvenuto disattendendo norme essenziali di procedura ( art. 132 OG in relazione con gli art. 104 lett. a e b e 105 cpv. 2 OG ).</w:t>
      </w:r>
    </w:p>
    <w:p>
      <w:r>
        <w:rPr>
          <w:b/>
        </w:rPr>
        <w:t>E. 2</w:t>
      </w:r>
    </w:p>
    <w:p>
      <w:r>
        <w:t>Nella querelata pronunzia, cui può essere integralmente rinviato, il giudice cantonale, ricordato il disciplinamento legale e regolamentare richiamabile in concreto, ha già correttamente indicato i motivi per cui la decisione resa dalla Cassa il 13 aprile 1999 sia incensurabile. In particolare, in applicazione dell' art. 34 cpv. 4 LAI , la rendita completiva va versata, su richiesta, all'altro coniuge, se il coniuge legittimato alla rendita non provvede al sostentamento della sua famiglia o se i coniugi vivono separati. Inoltre, per l' art. 30bis OAI , due coniugi sono considerati separati ai sensi dell' art. 34 LAI se, fra l'altro, abbiano cessato di vivere in comunione domestica in seguito a decisione giudiziaria. Nella fattispecie, in data 15 luglio 1994 il giudice civile competente ha pronunciato la separazione per tempo indeterminato di M.________ M.________ e M.________. Il requisito stabilito dagli art. 34 cpv. 4 LAI in relazione con l' art. 30bis OAI essendo pertanto adempiuto, a ragione la Cassa ha quindi accolto la domanda della moglie dell'assicurato e statuito il versamento della rendita completiva direttamente nelle sue mani.</w:t>
      </w:r>
    </w:p>
    <w:p>
      <w:r>
        <w:rPr>
          <w:b/>
        </w:rPr>
        <w:t>E. 3</w:t>
      </w:r>
    </w:p>
    <w:p>
      <w:r>
        <w:t>Da queste conclusioni, il Tribunale federale delle assicurazioni non ha motivo di dipartirsi, le allegazioni ricorsuali di M.________, e in particolare le addotte difficoltà finanziarie in cui egli verserebbe, non essendo in questo contesto giuridicamente di rilievo e non essendo di conseguenza suscettibili di modificare l'esito della lite. Per quanto precede, il gravame si rileva manifestamente infondato e deve essere respinto, mentre che la pronunzia e la decisione litigiose meritano di essere integralmente confermate.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