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428/00 vom 21. Mai 2001</w:t>
      </w:r>
    </w:p>
    <w:p>
      <w:r>
        <w:t>Bundesgericht, 2001-05-21, DE</w:t>
      </w:r>
    </w:p>
    <w:p>
      <w:r>
        <w:rPr>
          <w:b/>
        </w:rPr>
        <w:t xml:space="preserve">Quelle: </w:t>
      </w:r>
      <w:r>
        <w:t>https://mcp.opencaselaw.ch/entscheid/bger_I_428_00</w:t>
      </w:r>
    </w:p>
    <w:p>
      <w:r>
        <w:t>FR: TF I 428/00 du 21 mai 2001</w:t>
      </w:r>
    </w:p>
    <w:p>
      <w:r>
        <w:t>IT: TF I 428/00 del 21 maggio 2001</w:t>
      </w:r>
    </w:p>
    <w:p>
      <w:pPr>
        <w:pStyle w:val="Heading2"/>
      </w:pPr>
      <w:r>
        <w:t>Regeste</w:t>
      </w:r>
    </w:p>
    <w:p>
      <w:r>
        <w:t>Invalidenversicherung</w:t>
      </w:r>
    </w:p>
    <w:p>
      <w:pPr>
        <w:pStyle w:val="Heading2"/>
      </w:pPr>
      <w:r>
        <w:t>Erwägungen</w:t>
      </w:r>
    </w:p>
    <w:p>
      <w:r>
        <w:rPr>
          <w:b/>
        </w:rPr>
        <w:t>E. 1</w:t>
      </w:r>
    </w:p>
    <w:p>
      <w:r>
        <w:t>Die Vorinstanz hat die Bestimmungen und Grundsätze über den Begriff der Invalidität ( Art. 4 Abs. 1 IVG ), den Anspruch auf eine Invalidenrente ( Art. 28 Abs. 1 und 1bis IVG ), den Härtefall ( Art. 28bis Abs. 1 IVV ) und die Bemessung der Invalidität von Versicherten ohne Ausbildung ( Art. 28 Abs. 2 IVG in Verbindung mit Art. 26 Abs. 1 IVV ; ZAK 1982 S. 495, 1978 S. 32, 1974 S. 548) zutreffend dargelegt. Darauf kann verwiesen werden. Zu ergänzen bleibt, dass das Sozialversicherungsverfahren vom Untersuchungsgrundsatz beherrscht ist; danach haben Verwaltungsträger und im Beschwerdefall das Gericht von Amtes wegen für die richtige und vollständige Abklärung des rechtserheblichen Sachverhaltes zu sorgen ( BGE 125 V 195 Erw. 2, 122 V 158 Erw. 1a, je mit Hinweisen).</w:t>
      </w:r>
    </w:p>
    <w:p>
      <w:r>
        <w:rPr>
          <w:b/>
        </w:rPr>
        <w:t>E. 2</w:t>
      </w:r>
    </w:p>
    <w:p>
      <w:r>
        <w:t>Streitig ist der Anspruch auf eine Invalidenrente. a) Der Beschwerdeführer beanstandet, sein gesundheitlicher Zustand und dementsprechend die ihm offen stehenden Arbeitsmöglichkeiten seien ungenügend abgeklärt worden. Er beantragt deshalb eine neurologisch-medizinische Abklärung (EEG, Schädel-MRI, Untersuchung im Schlaflabor), ob neben dem POS auch eine Narkolepsie, eine angeborene cerebrale Bewegungsstörung sowie allenfalls eine weitere neurologische Störung oder Krankheit besteht, und gestützt auf dieses Ergebnis eine Neufestsetzung seiner Invalidenrente ab 1. Oktober 1996. b) IV-Stelle und Vorinstanz stellen sich hingegen auf den Standpunkt, anhand des Berichts von Dr. med. I.________ vom 23. Dezember 1992, der neurologischen und neuropsychologischen Untersuchung im Spital Y.________ vom 8. Dezember 1997 sowie der Ausführungen des Dr. med. Z.________, Facharzt für physikalische Medizin und Rehabilitation, in den Berichten der Abklärungs- und Ausbildungsstätte X.________ sei der medizinische Sachverhalt genügend abgeklärt. Dieser Ansicht kann nicht gefolgt werden. Der Versicherte weist zu Recht darauf hin, dass bezüglich des diagnostizierten und zu Lasten der Invalidenversicherung auch behandelten Geburtsgebrechens Ziff. 390, Cerebrale Bewegungsstörungen, keine weiteren Abklärungen erfolgten, inwiefern dieses Leiden den Beschwerdeführer im Zeitpunkt der Rentenfestsetzung noch behindert. Zu beachten ist auch, dass die Beurteilung durch Dr. med. I.________ über fünf Jahre vor Verfügungserlass erfolgte. Insbesondere aber fällt auf, dass Dr. med. K.________ bereits 1988 den Verdacht einer Narkolepsie äusserte und die Untersuchung im Dezember 1997 in der Neurologischen Klinik des Spitals Y.________ diesbezüglich keine Ergebnisse brachte, sondern vielmehr ausdrücklich darauf hingewiesen wurde, dass diese Frage mit den zur Verfügung stehenden Möglichkeiten nicht beantwortet werden könne und eine entsprechende Untersuchung in einem Schlaflabor notwendig sei; allgemein wurden zur weiteren Abklärung ein EEG, Schädel-MRI sowie allenfalls eine psychiatrische Beurteilung empfohlen (Bericht vom 12. Dezember 1997). Die IV-Stelle holte jedoch keine zusätzlichen Berichte oder Gutachten ein. Wegen dieser ungeklärten medizinischen Fragen und der zum Teil nicht mehr aktuellen Berichte ist eine gründliche medizinische Abklärung notwendig, welche für eine zuverlässige Beurteilung der zumutbaren Tätigkeiten erforderlich ist. Da die Beschwerden des Versicherten verschiedener Art sind, ist die Einholung eines polydisziplinären Gutachtens unter besonderer Berücksichtigung des neurologischen Aspekts angebracht.</w:t>
      </w:r>
    </w:p>
    <w:p>
      <w:r>
        <w:rPr>
          <w:b/>
        </w:rPr>
        <w:t>E. 3</w:t>
      </w:r>
    </w:p>
    <w:p>
      <w:r>
        <w:t>Über den Anspruch auf eine Parteientschädigung der obsiegenden Partei ist von Amtes wegen zu entscheiden ( Art. 159 Abs. 1 OG ); eines besonderen Antrags der obsiegenden Partei bedarf es nicht ( BGE 118 V 140 Erw. 3). Praxisgemäss wird die Rückweisung einer Sache zur weiteren Abklärung und neuen Verfügung bezüglich Gerichtskosten und Parteientschädigung dem Obsiegen gleichgestellt (SVR 1999 IV Nr. 10 S. 28 Erw. 3 mit Hinweisen). Dem Versicherten, welcher durch lic. iur. T.________ vertreten ist, steht deshalb eine Parteientschädigung für das letztinstanzliche Verfahren zu ( Art. 159 Abs. 2 OG ). Indes gilt es den Umstand zu berücksichtigen, dass die Vertreterin nicht selbstständige Anwältin ist und daher kein entsprechender Kanzleiaufwand abgegolten werden muss. Demnach erkennt das Eidg. Versicherungsgericht: I.Die Verwaltungsgerichtsbeschwerde wird in dem Sinne gutgeheissen, dass der Entscheid des Verwaltungsgerichts des Kantons Glarus vom 14. Juni 2000 und die Verfügung der IV-Stelle Glarus vom 5. Oktober 1998 aufgehoben werden und die Sache an die IV-Stelle zurückgewiesen wird, damit sie, nach erfolgter Abklärung im Sinne der Erwägungen, über den Rentenanspruch neu verfüge. II.Es werden keine Gerichtskosten erhoben. III. Die IV-Stelle Glarus hat dem Beschwerdeführer für das Verfahren vor dem Eidgenössischen Versicherungsgericht eine Parteientschädigung von Fr. 1000.- (einschliesslich Mehrwertsteuer) zu bezahlen. IV.Dieses Urteil wird den Parteien, dem Verwaltungsgericht des Kantons Glarus, der Kantonalen Ausgleichskasse Glarus und dem Bundesamt für Sozialversicherung zugestellt. Luzern, 21. Mai 2001 Im Namen des Eidgenössischen Versicherungsgerichts Der Präsident der II. Kammer: i.V.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