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380/01 vom 6. Mai 2002</w:t>
      </w:r>
    </w:p>
    <w:p>
      <w:r>
        <w:t>Bundesgericht, 2002-05-06, FR</w:t>
      </w:r>
    </w:p>
    <w:p>
      <w:r>
        <w:rPr>
          <w:b/>
        </w:rPr>
        <w:t xml:space="preserve">Quelle: </w:t>
      </w:r>
      <w:r>
        <w:t>https://mcp.opencaselaw.ch/entscheid/bger_I_380_01</w:t>
      </w:r>
    </w:p>
    <w:p>
      <w:r>
        <w:t>FR: TF I 380/01 du 6 mai 2002</w:t>
      </w:r>
    </w:p>
    <w:p>
      <w:r>
        <w:t>IT: TF I 380/01 del 6 maggio 2002</w:t>
      </w:r>
    </w:p>
    <w:p>
      <w:pPr>
        <w:pStyle w:val="Heading2"/>
      </w:pPr>
      <w:r>
        <w:t>Regeste</w:t>
      </w:r>
    </w:p>
    <w:p>
      <w:r>
        <w:t>Assurance-invalidité</w:t>
      </w:r>
    </w:p>
    <w:p>
      <w:pPr>
        <w:pStyle w:val="Heading2"/>
      </w:pPr>
      <w:r>
        <w:t>Erwägungen</w:t>
      </w:r>
    </w:p>
    <w:p>
      <w:r>
        <w:rPr>
          <w:b/>
        </w:rPr>
        <w:t>E. 1</w:t>
      </w:r>
    </w:p>
    <w:p>
      <w:r>
        <w:t>a) 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 b) Le Tribunal fédéral des assurances n'étant pas lié par les motifs que les parties invoquent (art. 114 al. 1 en corrélation avec l' art. 132 OJ ), il examine d'office si le jugement attaqué viole des normes de droit public fédéral ou si la juridiction de première instance a commis un excès ou un abus de son pouvoir d'appréciation ( art. 104 let. a OJ ). Il peut ainsi admettre ou rejeter un recours sans égard aux griefs soulevés par le recourant ou aux raisons retenues par le premier juge ( ATF 125 V 500 consid. 1, 124 V 340 consid. 1b et les références).</w:t>
      </w:r>
    </w:p>
    <w:p>
      <w:r>
        <w:rPr>
          <w:b/>
        </w:rPr>
        <w:t>E. 2</w:t>
      </w:r>
    </w:p>
    <w:p>
      <w:r>
        <w:t>A l'appui de ses déterminations sur le présent recours, l'intimé a produit, pour la première fois en instance fédérale, une décision du 30 mars 2001, par laquelle la CNA lui reconnaît le droit à une rente d'invalidité fondée sur une incapacité de gain de 20 % résultant des suites de l'accident du 25 décembre 1998. Cette décision est entrée en force faute de recours. a) Le juge ne doit, en principe, tenir compte que des faits existant au moment où la décision litigieuse a été rendue ( ATF 121 V 366 consid. 1b et les arrêts cités). Les faits survenus postérieurement doivent cependant être pris en considération dans la mesure où ils sont étroitement liés à l'objet du litige et de nature à influencer l'appréciation au moment où la décision attaquée a été rendue ( ATF 99 V 102 et les arrêts cités). b) La cour de céans a récemment précisé sa jurisprudence concernant la coordination de l'évaluation de l'invalidité dans les différentes branches de l'assurance sociale. Elle a notamment confirmé le caractère uniforme de la notion d'invalidité dans ces différentes branches (cf. art. 22 du projet de Loi fédérale sur la partie générale du droit des assurances sociales [LPGA] du 27 septembre 1990), ainsi que son effet de coordination dans l'évaluation de l'invalidité. En revanche, elle a renoncé à la pratique consistant à accorder en principe plus d'importance à l'évaluation effectuée par l'un des assureurs sociaux, indépendamment des instruments dont il dispose pour instruire le cas et de l'usage qu'il en fait dans le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 ATF 119 V 471 consid. 2b) ou encore lorsqu'elle résulte d'une simple transaction conclue avec l'assuré ( ATF 112 V 175 s. consid. 2a). A ces motifs de divergence déjà reconnus antérieurement par la jurisprudence, il faut ajouter des mesures d'instruction extrêmement limitées et superficielles, ainsi qu'une évaluation pas du tout convaincante ou entachée d'inobjectivité ( ATF 126 V 292 s. consid. 2b et 2d; RAMA 2000 p. 402 consid. 3).</w:t>
      </w:r>
    </w:p>
    <w:p>
      <w:r>
        <w:rPr>
          <w:b/>
        </w:rPr>
        <w:t>E. 3</w:t>
      </w:r>
    </w:p>
    <w:p>
      <w:r>
        <w:t>a) En l'espèce, l'OAI ne pouvait avoir connaissance, au moment de rendre sa propre décision, de celle rendue postérieurement par la CNA, soit le 30 mars 2001, et dont l'autorité judiciaire précédente n'a pas eu non plus connaissance. Il ne se justifie pas moins d'en tenir compte en instance fédérale, dans la mesure où, conformément à la jurisprudence rappelée ci-dessus (consid. 2b), se rapportant au même complexe de faits, elle est susceptible d'influencer l'appréciation du degré d'invalidité de l'assuré et, partant, son droit aux prestations de l'assurance-invalidité. b) Il résulte du dossier produit par la CNA à la réquisition de la cour de céans que la décision du 30 mars 2001 procède d'une évaluation objective, convaincante et conforme à la loi de l'invalidité de l'assuré. Afin de déterminer la capacité résiduelle de gain de ce dernier, la CNA, après avoir procédé à une instruction approfondie sur le plan médical (rapports des docteurs B.________, des 26 août 1999 et 8 novembre 1999, C.________, du 20 octobre 1999 et D.________, du 11 décembre 2000) et en toute connaissance du rapport du docteur A.________, du 6 octobre 2000, s'est référée à cinq descriptions de postes de travail, soit les DPT nos 2259, 4727, 3333, 3813 et 1587, dont les exigences correspondent aux limites fixées par les médecins à l'activité de l'assuré. Compte tenu de ces données économiques, et du revenu qu'il aurait pu réaliser chez son ancien employeur sans invalidité, l'appréciation du degré de son invalidité, arrêté à 20 %, ne saurait être taxée d'insoutenable. Il n'y a dès lors aucune raison, au sens de la jurisprudence précitée de s'en écarter. c) Au vu de ce qui précède, le degré d'invalidité de l'assuré doit être arrêté à 20 %, taux suffisant selon la jurisprudence pour ouvrir le droit de l'assuré à des mesures de réadaptation d'ordre professionnel ( ATF 124 V 110 consid. 2b), mais non, selon la loi, à une rente ( art. 28 al. 1 LAI ). Il s'ensuit que le jugement entrepris doit être modifié en ce sens et la cause renvoyée à l'administration pour instruction complémentaire en relation avec les autres conditions du droit à des mesures de réadaptation d'ordre professionnel et nouvelle décision.</w:t>
      </w:r>
    </w:p>
    <w:p>
      <w:r>
        <w:rPr>
          <w:b/>
        </w:rPr>
        <w:t>E. 4</w:t>
      </w:r>
    </w:p>
    <w:p>
      <w:r>
        <w:t>L'intimé, qui s'est fait assister d'un avocat, a conclu au rejet du recours en maintenant, notamment, sa demande de mesures de réadaptation d'ordre professionnel. Obtenant en réalité gain de cause, il peut prétendre l'octroi de dépens (art. 159 al. 1 en corrélation avec l' art. 135 OJ ). Il convient toutefois de tenir compte du fait que l'intimé, qui avait connaissance de la décision de la CNA du 30 mars 2001 n'en a pas donné connaissance au Tribunal administratif mais ne l'a produite, pour la première fois, qu'en instance fédérale, comportement propre, selon la jurisprudence, à occasionner des frais inutiles et qui justifie, partant, la réduction des dépens (art. 156 al. 6 et 159 al. 5 OJ; RCC 1989, p. 290 consid. 3b, 1988, p. 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