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379/01 vom 9. April 2002</w:t>
      </w:r>
    </w:p>
    <w:p>
      <w:r>
        <w:t>Bundesgericht, 2002-04-09, FR</w:t>
      </w:r>
    </w:p>
    <w:p>
      <w:r>
        <w:rPr>
          <w:b/>
        </w:rPr>
        <w:t xml:space="preserve">Quelle: </w:t>
      </w:r>
      <w:r>
        <w:t>https://mcp.opencaselaw.ch/entscheid/bger_I_379_01</w:t>
      </w:r>
    </w:p>
    <w:p>
      <w:r>
        <w:t>FR: TF I 379/01 du 9 avril 2002</w:t>
      </w:r>
    </w:p>
    <w:p>
      <w:r>
        <w:t>IT: TF I 379/01 del 9 aprile 2002</w:t>
      </w:r>
    </w:p>
    <w:p>
      <w:pPr>
        <w:pStyle w:val="Heading2"/>
      </w:pPr>
      <w:r>
        <w:t>Regeste</w:t>
      </w:r>
    </w:p>
    <w:p>
      <w:r>
        <w:t>Assurance-invalidité</w:t>
      </w:r>
    </w:p>
    <w:p>
      <w:pPr>
        <w:pStyle w:val="Heading2"/>
      </w:pPr>
      <w:r>
        <w:t>Erwägungen</w:t>
      </w:r>
    </w:p>
    <w:p>
      <w:r>
        <w:rPr>
          <w:b/>
        </w:rPr>
        <w:t>E. 1</w:t>
      </w:r>
    </w:p>
    <w:p>
      <w:r>
        <w:t>Par la décision litigieuse du 24 juillet 2000, l'office recourant a accordé rétroactivement une rente entière d'invalidité limitée dans le temps. Le bien-fondé de cette décision doit dès lors être examiné à la lumière des conditions de révision du droit à la rente ( ATF 125 V 418 consid. 2d et les références). Selon la jurisprudence,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 ATF 125 V 369 consid. 2 et la référence; voir également ATF 112 V 372 consid. 2b et 390 consid. 1b).</w:t>
      </w:r>
    </w:p>
    <w:p>
      <w:r>
        <w:rPr>
          <w:b/>
        </w:rPr>
        <w:t>E. 2</w:t>
      </w:r>
    </w:p>
    <w:p>
      <w:r>
        <w:t>En l'espèce, il s'agit d'examiner si l'invalidité de l'intimé s'est modifiée entre le 1er juin 1994, date du début du droit à une rente entière, et le 30 septembre 1995, date de la suppression de cette prestation. L'intimé a bénéficié d'une rente entière à partir du 1er juin 1994, en raison de troubles somatiques partiellement en relation avec l'accident du 14 juin 1993 : à savoir un status après fracture de l'épine de l'omoplate droite, des contusions au dos et au membre inférieur droit, suivies d'une thrombose veineuse profonde, des lombalgies, des cervicalgies sur arthrose cervicale basse débutante et une surcharge pondérale (rapports des docteurs D.________ du 8 juillet 1994 et E.________ du 25 septembre 1995). Sur le vu du rapport d'expertise du docteur E.________ précité, les troubles somatiques dont souffrait encore l'intéressé au mois de septembre 1995 n'étaient plus de nature à entraîner une diminution significative de sa capacité de travail. Selon ce praticien, cette capacité n'était réduite que de 25 % dans la profession habituelle d'étancheur et était même entière dans toute activité ne nécessitant pas le port de lourdes charges sur de longues distances. Cet avis médical a été confirmé par le docteur A.________ dans son rapport d'expertise du 21 février 2000. Il n'y a pas de raison de mettre en doute ces conclusions médicales, lesquelles, au demeurant, ne sont pas contestées par les parties dans la présente procédure. On est ainsi fondé à admettre que l'état de santé physique de l'intimé s'est amélioré de manière à influencer son droit à une rente d'invalidité entre le 1er juin 1994 et le mois de septembre 1995.</w:t>
      </w:r>
    </w:p>
    <w:p>
      <w:r>
        <w:rPr>
          <w:b/>
        </w:rPr>
        <w:t>E. 3</w:t>
      </w:r>
    </w:p>
    <w:p>
      <w:r>
        <w:t>Il faut encore examiner si, durant la période déterminante, l'invalidité de l'intimé est toutefois restée inchangée en raison de l'apparition de troubles distincts de l'atteinte à la santé originaire, justifiant le maintien du droit à la rente entière au-delà du 30 septembre 1995 (cf. ATF 126 V 162 consid. 5). a) Dans son consilium psychiatrique du 18 février 2000, le docteur B.________ a indiqué l'apparition progressive de troubles psychiques - sous la forme d'un état dépressif majeur - entraînant une incapacité de travail de 50 % dès le 1er janvier 1998. Se fondant sur ces conclusions médicales, conjuguées à l'avis du docteur A.________ au sujet de l'amélioration de l'état de santé physique durant la période déterminante, l'office AI a considéré que l'invalidité de l'assuré n'était plus suffisante pour ouvrir droit à une rente après le 30 septembre 1995. En revanche, l'intéressé pouvait prétendre à une demi-rente à partir du 1er janvier 1998. De son côté, le docteur C.________ a attesté que l'assuré était resté entièrement incapable de travailler en raison de l'apparition, peu après l'accident, de troubles psychiques sous la forme d'un syndrome somatoforme douloureux. Se référant à cet avis médical plutôt qu'à celui des docteurs A.________ et B.________, les premiers juges ont considéré que l'invalidité de l'assuré ne s'était pas modifiée de manière à justifier la suppression de la rente entière. b) Selon une jurisprudence constante, l'administration est tenue,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125 V 353 consid. 3b/bb, 122 V 161 consid. 1c et les références). En outre, il convient de relever qu'une expertise présentée par une partie n'a pas la même valeur que des expertises mises en oeuvre par un tribunal ou par l'administration conformément aux règles de procédure applicables. En vertu des principes énoncés par la jurisprudence concernant l'appréciation des preuves, le juge est toutefois tenu d'examiner si elle est propre à mettre en doute, sur les points litigieux importants, l'opinion et les conclusions de l'expert mandaté par le tribunal ou par l'administration ( ATF 125 V 354 consid. 3c). 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125 V 352 consid. 3a et les références; VSI 2001 p. 108 consid. 3a). c) En l'occurrence, les premiers juges ont accordé la préférence à l'appréciation du docteur C.________. Ils ont considéré notamment que le rapport du docteur B.________ était bref dans sa motivation et ses conclusions, alors que l'avis du docteur C.________ était plus complet et plus détaillé. En outre, ils reprochent au docteur B.________ de n'avoir pas motivé de manière satisfaisante le degré d'incapacité de travail de 50 %, ainsi que le début de cette incapacité, le docteur C.________ ayant, quant à lui, motivé ses conclusions de manière convaincante. Comme le relève pertinemment l'office recourant, les différences relevées par la juridiction cantonale sont de nature essentiellement formelle et ne constituent pas en soi des indices suffisants pour douter du bien-fondé des résultats de l'expertise mise en oeuvre par l'administration.</w:t>
      </w:r>
    </w:p>
    <w:p>
      <w:r>
        <w:rPr>
          <w:b/>
        </w:rPr>
        <w:t>E. 4</w:t>
      </w:r>
    </w:p>
    <w:p>
      <w:r>
        <w:t>Il n'en demeure pas moins qu'il faut examiner, conformément à la jurisprudence ci-dessus exposée, si l'expertise du docteur C.________ est propre à mettre en doute, sur les points litigieux importants, les conclusions des experts mandatés par l'office AI. a) En ce qui concerne le diagnostic, les expertises médicales en cause concluent toutes deux à l'existence d'un état dépressif majeur (F 32.2) et d'un syndrome somatoforme douloureux (F 45.4). Elles divergent en revanche quant à la présence d'un état de stress post-traumatique (F 43.1), lequel est dûment constaté par le docteur C.________, mais catégoriquement nié par le docteur B.________. Cette divergence n'est toutefois pas déterminante, dès lors que le docteur C.________ ne rattache pas à ce diagnostic un effet à proprement parler invalidant. Les expertises sont surtout contradictoires en ce qui concerne le degré d'incapacité de travail et les causes de cette incapacité (partant, le moment de sa survenance) : alors que le docteur B.________ est d'avis que l'incapacité (de 50 %) est due essentiellement à l'état dépressif apparu au mois de janvier 1998, le docteur C.________ considère qu'une incapacité entière résulte du syndrome douloureux somatoforme survenu peu après l'accident. Le point litigieux est dès lors celui de savoir si les troubles somatoformes douloureux, dont l'existence est attestée par chacun des experts prénommés, ont ou non un caractère invalidant. b) Dans un arrêt publié dans la pratique VSI 2000 p. 152, le Tribunal fédéral des assurances a défini, en se fondant principalement sur une étude de Mosimann (Somatoforme Störungen : Gerichte und [psychiatrische] Gutachten, in RSAS 1999, p. 1 ss et 105 ss), la tâche du médecin ou de l'expert, lorsque celui-ci doit se prononcer sur le caractère invalidant de tels troubles. Selon cette jurisprudence, l'expert doit, sur le plan psychiatrique,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(VSI 2000 p. 155 consid. 2c). c) En l'espèce, le docteur C.________ a posé un diagnostic dans le cadre d'une classification reconnue (F 45.4; selon la Classification internationale des maladies [CIM] de l'Organisation mondiale de la santé). En outre, il a expliqué en détail pourquoi l'on ne pouvait exiger de l'assuré la reprise d'une activité lucrative. Ce pronostic repose sur l'existence d'une personnalité dépendante (F 60.7) et la présence d'une comorbidité psychiatrique sous la forme d'une dépression sévère. Par ailleurs, l'expert a souligné la perte d'intégration sociale en ce qui concerne le milieu professionnel dans lequel l'assuré était, avant son accident, très apprécié pour ses qualités personnelles. Il a également relevé le caractère chronique et stationnaire de l'affection. Enfin, il a nié la possibilité d'améliorer la situation à l'aide d'un traitement. Alors que le cumul de ces éléments est de nature à fonder le pronostic défavorable indiqué par le docteur C.________, le docteur B.________, de son côté, exclut le caractère invalidant des troubles somatoformes douloureux sans aucunement motiver ce refus à l'aide des critères développés à cet effet par la jurisprudence précitée. Il s'ensuit qu'en ce qui concerne le degré et la cause de l'incapacité de travail, l'expertise du docteur C.________ produite par l'assuré est de nature à mettre en doute l'opinion et les conclusions de l'expert mandaté par l'office AI. Cela étant, force est de considérer qu'en raison de l'apparition de troubles somatoformes douloureux peu après l'accident, l'invalidité de l'assuré ne s'est pas modifiée entre le 1er juin 1994 et le 30 septembre 1995 de manière à justifier la suppression du droit à la rente entière. Le jugement entrepris n'est dès lors pas critiquable dans son résultat et le recours se révèle mal fondé.</w:t>
      </w:r>
    </w:p>
    <w:p>
      <w:r>
        <w:rPr>
          <w:b/>
        </w:rPr>
        <w:t>E. 5</w:t>
      </w:r>
    </w:p>
    <w:p>
      <w:r>
        <w:t>L'intimé, qui obtient gain de cause, est représenté par un avocat. Il a droit à une indemnité de dépens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