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370/00 vom 6. Oktober 2000</w:t>
      </w:r>
    </w:p>
    <w:p>
      <w:r>
        <w:t>Bundesgericht, 2000-10-06, DE</w:t>
      </w:r>
    </w:p>
    <w:p>
      <w:r>
        <w:rPr>
          <w:b/>
        </w:rPr>
        <w:t xml:space="preserve">Quelle: </w:t>
      </w:r>
      <w:r>
        <w:t>https://mcp.opencaselaw.ch/entscheid/bger_I_370_00</w:t>
      </w:r>
    </w:p>
    <w:p>
      <w:r>
        <w:t>FR: TF I 370/00 du 6 octobre 2000</w:t>
      </w:r>
    </w:p>
    <w:p>
      <w:r>
        <w:t>IT: TF I 370/00 del 6 ottobre 2000</w:t>
      </w:r>
    </w:p>
    <w:p>
      <w:pPr>
        <w:pStyle w:val="Heading2"/>
      </w:pPr>
      <w:r>
        <w:t>Regeste</w:t>
      </w:r>
    </w:p>
    <w:p>
      <w:r>
        <w:t>Invalidenversicherung</w:t>
      </w:r>
    </w:p>
    <w:p>
      <w:pPr>
        <w:pStyle w:val="Heading2"/>
      </w:pPr>
      <w:r>
        <w:t>Erwägungen</w:t>
      </w:r>
    </w:p>
    <w:p>
      <w:r>
        <w:rPr>
          <w:b/>
        </w:rPr>
        <w:t>E. 1</w:t>
      </w:r>
    </w:p>
    <w:p>
      <w:r>
        <w:t>Das kantonale Gericht hat die Bestimmungen über den Begriff der Invalidität ( Art. 4 Abs. 1 IVG ), den Umfang des Rentenanspruchs ( Art. 28 Abs. 1 IVG ), die Invaliditätsbemessung bei Erwerbstätigen nach der Einkommensvergleichsmethode ( Art. 28 Abs. 2 IVG ), namentlich in Form des Prozentvergleichs ( BGE 114 V 313 Erw. 3a), sowie die Rechtsprechung zur Bedeutung ärztlicher Auskünfte bei der Ermittlung des Invaliditätsgrades ( BGE 115 V 134 Erw. 2, 114 V 314 Erw. 3c, 105 V 158 Erw. 1) zutreffend dargelegt. Darauf kann verwiesen werden.</w:t>
      </w:r>
    </w:p>
    <w:p>
      <w:r>
        <w:rPr>
          <w:b/>
        </w:rPr>
        <w:t>E. 2</w:t>
      </w:r>
    </w:p>
    <w:p>
      <w:r>
        <w:t>April 1998) und des Dr. med. D.________ (vom 10. und 11. Februar 1998) für die der Erstattung des Gutachtens des ZMB (vom 7. Mai 1999) vorangehende Zeit, noch sind hiefür zusätzliche Abklärungen nötig. Auf Grund der medizinischen Akten ist vielmehr davon auszugehen, dass der Gesundheitszustand und die daraus resultierende Beeinträchtigung der Arbeitsfähigkeit sich von April 1997 (Ablauf des Wartejahres) bis Mai 1999 (Begutachtung durch das ZMB) und darüber hinaus bis zum Erlass der strittigen Verwaltungsverfügung (vom 24. September 1999) nicht wesentlich verändert haben. Das am 17. Dezember 1998 durch die IV-Stelle in Auftrag gegebene, am 7. Mai 1999 erstattete Gutachten des ZMB ist in Kenntnis der Vorakten, insbesondere der abweichenden Stellungnahmen zur Arbeitsfähigkeit der Frau Dr. med. M.________ und des Dr. med. D.________ ergangen. Es fehlen jegliche Hinweise dafür, dass sich nach Auffassung der Gutachter des ZMB der Gesundheitszustand, und damit einhergehend die Arbeitsfähigkeit, im Sinne eines evolutiven Geschehens nunmehr (d.h. namentlich bis Mai 1999) verbessert hätten. Die Beurteilung, wonach eine Anpassungsstörung mit einer längerdauernden depressiven Reaktion nach dem Unfallereignis vom 12. April 1996 im Vordergrund stünde und depressive Symptomatik wie Schmerzausweitung durch soziale Folgeprobleme (Schulden, mangelndes Einkommen und Getrenntleben von der in der Türkei lebenden Familie usw.) kompliziert würden, spricht klar gegen eine zwischenzeitliche Verbesserung von Gesundheit und Arbeitsfähigkeit und für letztlich gleichgebliebene Verhältnisse. Gegenteiliges lässt sich auch aus den Berichten der Frau Dr. med. M.________ und des Dr. med. D.________ nicht ableiten.</w:t>
      </w:r>
    </w:p>
    <w:p>
      <w:r>
        <w:rPr>
          <w:b/>
        </w:rPr>
        <w:t>E. 3</w:t>
      </w:r>
    </w:p>
    <w:p>
      <w:r>
        <w:t>Da es im vorliegenden Verfahren um Versicherungsleistungen geht, sind gemäss Art. 134 OG keine Gerichtskosten zu erheben. Die unentgeltliche Verbeiständung kann gewährt werden (Art. 152 in Verbindung mit Art. 135 OG ), da die Bedürftigkeit aktenkundig ist, die Beschwerde im Zeitpunkt ihrer Einreichung nicht als aussichtslos zu bezeichnen und die Vertretung geboten war ( BGE 124 V 309 Erw.</w:t>
      </w:r>
    </w:p>
    <w:p>
      <w:r>
        <w:rPr>
          <w:b/>
        </w:rPr>
        <w:t>E. 6</w:t>
      </w:r>
    </w:p>
    <w:p>
      <w:r>
        <w:t>mit Hinweisen; AHI 1999 S. 85 Erw. 3).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Rechtsanwalt Bischoff für das Verfahren vor dem Eidgenössischen Versicherungsgericht aus der Gerichtskasse eine Entschädigung (einschliesslich Mehrwertsteuer) von Fr. 1'500.- ausgerichtet. IV.Dieses Urteil wird den Parteien, dem Sozialversicherungsgericht des Kantons Zürich, der Ausgleichskasse des Kantons Zürich und dem Bundesamt für Sozialversicherung zugestellt. Luzern, 6.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