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340/00 vom 10. Dezember 2001</w:t>
      </w:r>
    </w:p>
    <w:p>
      <w:r>
        <w:t>Bundesgericht, 2001-12-10, DE</w:t>
      </w:r>
    </w:p>
    <w:p>
      <w:r>
        <w:rPr>
          <w:b/>
        </w:rPr>
        <w:t xml:space="preserve">Quelle: </w:t>
      </w:r>
      <w:r>
        <w:t>https://mcp.opencaselaw.ch/entscheid/bger_I_340_00</w:t>
      </w:r>
    </w:p>
    <w:p>
      <w:r>
        <w:t>FR: TF I 340/00 du 10 décembre 2001</w:t>
      </w:r>
    </w:p>
    <w:p>
      <w:r>
        <w:t>IT: TF I 340/00 del 10 dicembre 2001</w:t>
      </w:r>
    </w:p>
    <w:p>
      <w:pPr>
        <w:pStyle w:val="Heading2"/>
      </w:pPr>
      <w:r>
        <w:t>Regeste</w:t>
      </w:r>
    </w:p>
    <w:p>
      <w:r>
        <w:t>Invalidenversicherung</w:t>
      </w:r>
    </w:p>
    <w:p>
      <w:pPr>
        <w:pStyle w:val="Heading2"/>
      </w:pPr>
      <w:r>
        <w:t>Erwägungen</w:t>
      </w:r>
    </w:p>
    <w:p>
      <w:r>
        <w:rPr>
          <w:b/>
        </w:rPr>
        <w:t>E. 1</w:t>
      </w:r>
    </w:p>
    <w:p>
      <w:r>
        <w:t>Im letztinstanzlichen Verfahren ist unbestritten, dass die hyperkinetische Störung, an welcher der Versicherte leidet, die für die Anerkennung als Geburtsgebrechen gemäss Ziffer 404 GgV-Anhang geltenden Voraussetzungen nicht erfüllt, weshalb eine Kostenübernahme gestützt auf Art. 13 IVG entfällt. Zu prüfen bleibt, ob eine Leistungspflicht der Invalidenversicherung gemäss Art. 12 IVG in Verbindung mit Art. 5 Abs. 2 IVG in Betracht fällt, wobei streitig ist, ob für die Beurteilung dieser Frage, wovon die Vorinstanz ausging, ergänzende Abklärungen notwendig sind.</w:t>
      </w:r>
    </w:p>
    <w:p>
      <w:r>
        <w:rPr>
          <w:b/>
        </w:rPr>
        <w:t>E. 2</w:t>
      </w:r>
    </w:p>
    <w:p>
      <w:r>
        <w:t>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grundsätzlich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 AHI 2000 S. 64 Erw. 1). Bei nichterwerbstätigen minderjährigen Versicherten ist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 BGE 105 V 20 ; AHI 2000 S. 64 Erw. 1).</w:t>
      </w:r>
    </w:p>
    <w:p>
      <w:r>
        <w:rPr>
          <w:b/>
        </w:rPr>
        <w:t>E. 3</w:t>
      </w:r>
    </w:p>
    <w:p>
      <w:r>
        <w:t>a) Die Vorinstanz wies die Sache an die IV-Stelle zu Aktenergänzungen zurück mit der Begründung, die Verwaltung habe nicht abgeklärt, ob sich ohne die medizinische Behandlung - der Versicherte werde seit 1997 ärztlich betreut und mit Ritalin therapiert - ein stabiler, zu einer Beeinträchtigung in der Ausbildung und/oder in der späteren Erwerbstätigkeit führender Defektzustand einstellen würde. Ebenso wenig gehe aus den Akten hervor, ob es sich bei der Behandlung um eine zeitlich unbegrenzte Vorkehr handle, die auf die Behandlung des Leidens an sich gerichtet sei. b) Das BSV bringt vor, dass sich die medizinischen Massnahmen auf eine medikamentöse Therapie mit Ritalin beschränkten, in deren Rahmen in lockeren Abständen ärztliche Konsultationen bei Dr. med. Z.________ stattfänden. Nach medizinischen Erkenntnissen habe die Therapie mit Retalin rein symptomatischen Charakter und werde mit der Behandlung nicht einem später drohenden stabilen Defekt vorgebeugt, sondern "nur" die momentane Symptomatik gelindert. Im Übrigen sei die individuelle Prognose einer hyperkinetischen Störung schwer bzw. kaum zu beurteilen. Lasse sich keine zuverlässige Prognose stellen, bestehe rechtsprechungsgemäss auch bei Minderjährigen kein Leistungsanspruch aufgrund von Art. 12 IVG .</w:t>
      </w:r>
    </w:p>
    <w:p>
      <w:r>
        <w:rPr>
          <w:b/>
        </w:rPr>
        <w:t>E. 4</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