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I_335/2002 vom 12. November 2002</w:t>
      </w:r>
    </w:p>
    <w:p>
      <w:r>
        <w:t>Bundesgericht, 2002-11-12, DE</w:t>
      </w:r>
    </w:p>
    <w:p>
      <w:r>
        <w:rPr>
          <w:b/>
        </w:rPr>
        <w:t xml:space="preserve">Quelle: </w:t>
      </w:r>
      <w:r>
        <w:t>https://mcp.opencaselaw.ch/entscheid/bger_I_335_2002</w:t>
      </w:r>
    </w:p>
    <w:p>
      <w:r>
        <w:t>FR: TF I_335/2002 du 12 novembre 2002</w:t>
      </w:r>
    </w:p>
    <w:p>
      <w:r>
        <w:t>IT: TF I_335/2002 del 12 novembre 2002</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t>Die Verwaltung hat nur betreffend beruflicher Massnahmen verfügt; soweit die Ausrichtung einer Invalidenrente beantragt wird, fehlt es an einem Anfechtungsgegenstand, so dass diesbezüglich nicht auf die Verwaltungsgerichtsbeschwerde eingetreten werden kann.</w:t>
      </w:r>
    </w:p>
    <w:p>
      <w:r>
        <w:rPr>
          <w:b/>
        </w:rPr>
        <w:t>E. 2</w:t>
      </w:r>
    </w:p>
    <w:p>
      <w:r>
        <w:t>Die Vorinstanz hat die Voraussetzungen und Grundsätze für den Anspruch eines Invaliden auf Arbeitsvermittlung zutreffend dargestellt ( Art. 18 Abs. 1 IVG ; BGE 116 V 80 ; Urteil F. vom 15. Juli 2002, I 421/01). Darauf wird verwiesen.</w:t>
      </w:r>
    </w:p>
    <w:p>
      <w:r>
        <w:rPr>
          <w:b/>
        </w:rPr>
        <w:t>E. 3</w:t>
      </w:r>
    </w:p>
    <w:p>
      <w:r>
        <w:t>Da auf das Begehren zur Ausrichtung einer Invalidenrente nicht eingetreten werden kann (vgl. Erw. 1 hievor), ist einzig der Anspruch auf Arbeitsvermittlung streitig; weitere Eingliederungsmassnahmen sind nicht mehr Gegenstand des Verfahrens.</w:t>
      </w:r>
    </w:p>
    <w:p>
      <w:r>
        <w:rPr>
          <w:b/>
        </w:rPr>
        <w:t>E. 3.1</w:t>
      </w:r>
    </w:p>
    <w:p>
      <w:r>
        <w:t>Das kantonale Gericht hat auf die Angaben des Dr. med. M.________ abgestellt und eine vollständige Arbeitsfähigkeit in einer leidensangepassten Tätigkeit angenommen, so dass keine Invalidität im Sinne des Art. 18 Abs. 1 IVG vorliege. Der Beschwerdeführer ist demgegenüber der Ansicht, er sei schon aus psychischen Gründen zwischen 50 und 60 % arbeitsunfähig, was die Vorinstanz jedoch nicht berücksichtigt habe; im Weiteren betrachte ihn die Arbeitslosenversicherung als nicht vermittelbar.</w:t>
      </w:r>
    </w:p>
    <w:p>
      <w:r>
        <w:rPr>
          <w:b/>
        </w:rPr>
        <w:t>E. 3.2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die Urteile F. vom 15. Juli 2002, I 421/01, Q. vom 12. August 2002, I 403/01, K. vom 13. September 2002, I 632/01, und B. vom 14. Oktober 2002, I 235/02).</w:t>
      </w:r>
    </w:p>
    <w:p>
      <w:r>
        <w:rPr>
          <w:b/>
        </w:rPr>
        <w:t>E. 3.3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(Urteile F. vom 15. Juli 2002, I 421/01, und Q. vom 12. August 2002, I 403/01, K. vom 13. September 2002, I 632/01, und B. vom 14. Oktober 2002, I 235/02; vgl. Art. 4 Abs. 1 IVG ; in diesem Sinne Jean-Louis Duc, L'assurance-invalidité, in Schweizerisches Bundesverwaltungsrecht [SBVR], Soziale Sicherheit, Rz 85).</w:t>
      </w:r>
    </w:p>
    <w:p>
      <w:r>
        <w:t>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Urteile F. vom 15. Juli 2002, I 421/01, Q. vom 12. August 2002, I 403/01, K. vom 13. September 2002, I 632/01, und B. vom 14. Oktober 2002, I 235/02).</w:t>
      </w:r>
    </w:p>
    <w:p>
      <w:r>
        <w:t>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(Urteile F. vom 15. Juli 2002, I 421/01, Q. vom 12. August 2002, I 403/01, K. vom 13. September 2002, I 632/01, und B. vom 14. Oktober 2002, I 235/02).</w:t>
      </w:r>
    </w:p>
    <w:p>
      <w:r>
        <w:rPr>
          <w:b/>
        </w:rPr>
        <w:t>E. 4</w:t>
      </w:r>
    </w:p>
    <w:p>
      <w:r>
        <w:t>Es fragt sich, ob der Beschwerdeführer wegen seiner Leiden Probleme bei der Stellensuche hat.</w:t>
      </w:r>
    </w:p>
    <w:p>
      <w:r>
        <w:t>Der - knapp drei Monate vor Verfügungserlass verfasste und damit aktuelle - Bericht des Dr. med. M.________ vom 18. September 2001 ist für die streitigen Belange umfassend, beruht auf allseitigen Untersuchungen, berücksichtigt die geklagten Beschwerden und ist - insbesondere da es sich um den Hausarzt handelt - in Kenntnis der Vorakten abgegeben worden; zudem ist er in der Beurteilung der medizinischen Zusammenhänge sowie der medizinischen Situation einleuchtend und beinhaltet begründete Schlussfolgerungen ( BGE 125 V 352 Erw. 3a). Der Arzt ist klar der Ansicht, dass dem Versicherten eine leidensangepasste Tätigkeit ohne repetitives Heben, Ziehen oder Stossen von schweren Gewichten uneingeschränkt zumutbar ist. Dies stimmt im Übrigen mit seinem Bericht vom 8. Oktober 2001 zu Handen der Arbeitslosenversicherung überein; insoweit ist deshalb nicht ersichtlich, weshalb die Arbeitslosenversicherung den Beschwerdeführer aus gesundheitlichen Gründen als nicht vermittlungsfähig betrachten sollte, was in der Verwaltungsgerichtsbeschwerde jedoch - ohne den geringsten Beleg - behauptet wird, während die Arbeitslosenkasse in ihrem Bericht vom 31. Oktober 2001 dagegen von einer vollständigen Vermittlungsfähigkeit ausgegangen ist.</w:t>
      </w:r>
    </w:p>
    <w:p>
      <w:r>
        <w:t>Die beiden in den Akten liegenden ärztlichen Zeugnisse (Dr. med. S.________ vom 19. Dezember 2001 und Dr. med. M.________ vom 19. Dezember 2001) sind weder geeignet, zu einer anderen Beurteilung der Arbeitsfähigkeit zu führen, noch vermögen sie Zweifel an der Zuverlässigkeit der Ausführungen des Dr. med. M.________ in seinem Bericht vom 18. September 2001 zu wecken (vgl. BGE 125 V 353 Erw. 3b/bb), da ihre Stellungnahmen zur Arbeitsfähigkeit befristet und nicht begründet sind. Der vom Beschwerdeführer neu eingereichte Bericht des Dr. med. B.________ vom 24. April 2002 bezieht sich nicht auf den - praxisgemäss Grenze der richterlichen Überprüfungsbefugnis bildenden ( BGE 121 V 366 Erw. 1b) - Zeitpunkt des Verfügungserlasses, weshalb er in diesem Verfahren nicht massgebend ist. Im Übrigen ergeben sich aus den anderen in den Akten liegenden medizinischen Berichten keinerlei Hinweise darauf, dass im Verfügungszeitpunkt psychische Beschwerden vorgelegen hätten, die die Arbeits- und Erwerbsfähigkeit beeinträchtigen. Weitere Abklärungen sind deshalb nicht notwendig. Dem Versicherten bleibt es jedoch unbenommen, sich unter Hinweis auf den Bericht des Dr. med. B.________ bei der Invalidenversicherung neu anzumelden.</w:t>
      </w:r>
    </w:p>
    <w:p>
      <w:r>
        <w:t>Damit ist von einer vollständigen Arbeitsfähigkeit in einer leidensangepassten Tätigkeit auszugehen.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w:t>
      </w:r>
    </w:p>
    <w:p>
      <w:r>
        <w:rPr>
          <w:b/>
        </w:rPr>
        <w:t>E. 5.1</w:t>
      </w:r>
    </w:p>
    <w:p>
      <w:r>
        <w:t>Das Verfahren ist kostenlos ( Art. 134 OG ).</w:t>
      </w:r>
    </w:p>
    <w:p>
      <w:r>
        <w:rPr>
          <w:b/>
        </w:rPr>
        <w:t>E. 5.2</w:t>
      </w:r>
    </w:p>
    <w:p>
      <w:r>
        <w:t>Nach Gesetz ( Art. 152 OG ) und Praxis sind in der Regel die Voraussetzungen für die Bewilligung der unentgeltlichen Verbeiständung erfüllt, wenn der Prozess nicht aussichtslos erscheint, die Partei bedürftig und die anwaltliche Verbeiständung notwendig oder doch geboten ist ( BGE 125 V 202 Erw. 4a und 372 Erw. 5b, je mit Hinweisen).</w:t>
      </w:r>
    </w:p>
    <w:p>
      <w:r>
        <w:t>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125 II 275 Erw. 4b, 124 I 306 Erw. 2c mit Hinweis).</w:t>
      </w:r>
    </w:p>
    <w:p>
      <w:r>
        <w:t>Der Beschwerdeführer stützt sich für seine Argumentation auf zwei nicht begründete ärztliche Zeugnisse sowie einen Arztbericht, der sich nicht zum Sachverhalt im Verfügungszeitpunkt äussert; im Weiteren beantragt der anwaltlich vertretene Versicherte eine Rente, für die - auch keine implizite - Anmeldung erfolgt ist und über welche die Verwaltung offensichtlich noch nicht verfügt hat. Eine Partei, die über die nötigen finanziellen Mittel verfügt, hätte allenfalls eine Neuanmeldung vorgenommen und sich nicht zu einem Prozess entschlossen, da die Verlustgefahren massiv höher als die Gewinnaussichten waren. Wegen Aussichtslosigkeit des Prozesses sind die Voraussetzungen für die Bewilligung der unentgeltlichen Verbeiständung daher sowohl vor dem Eidgenössischen Versicherungsgericht wie auch der Vorinstanz nicht erfüllt; die Frage der Bedürftigkeit kann offen bleiben.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