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333/00 vom 20. März 2002</w:t>
      </w:r>
    </w:p>
    <w:p>
      <w:r>
        <w:t>Bundesgericht, 2002-03-20, DE</w:t>
      </w:r>
    </w:p>
    <w:p>
      <w:r>
        <w:rPr>
          <w:b/>
        </w:rPr>
        <w:t xml:space="preserve">Quelle: </w:t>
      </w:r>
      <w:r>
        <w:t>https://mcp.opencaselaw.ch/entscheid/bger_I_333_00</w:t>
      </w:r>
    </w:p>
    <w:p>
      <w:r>
        <w:t>FR: TF I 333/00 du 20 mars 2002</w:t>
      </w:r>
    </w:p>
    <w:p>
      <w:r>
        <w:t>IT: TF I 333/00 del 20 marzo 2002</w:t>
      </w:r>
    </w:p>
    <w:p>
      <w:pPr>
        <w:pStyle w:val="Heading2"/>
      </w:pPr>
      <w:r>
        <w:t>Regeste</w:t>
      </w:r>
    </w:p>
    <w:p>
      <w:r>
        <w:t>Invalidenversicherung</w:t>
      </w:r>
    </w:p>
    <w:p>
      <w:pPr>
        <w:pStyle w:val="Heading2"/>
      </w:pPr>
      <w:r>
        <w:t>Erwägungen</w:t>
      </w:r>
    </w:p>
    <w:p>
      <w:r>
        <w:rPr>
          <w:b/>
        </w:rPr>
        <w:t>E. 1</w:t>
      </w:r>
    </w:p>
    <w:p>
      <w:r>
        <w:t>Streitig ist, ob die Beschwerdeführerin Anspruch auf eine Rente der Invalidenversicherung hat, wobei zunächst die Frage zu prüfen ist, ob die Beschwerdesache zwecks Einholung eines medizinischen Obergutachtens an die Vorinstanz zurückzuweisen ist.</w:t>
      </w:r>
    </w:p>
    <w:p>
      <w:r>
        <w:rPr>
          <w:b/>
        </w:rPr>
        <w:t>E. 2</w:t>
      </w:r>
    </w:p>
    <w:p>
      <w:r>
        <w:t>Das kantonale Gericht hat die gesetzlichen Bestimmungen über den Invaliditätsbegriff ( Art. 4 IVG ), die Voraussetzungen und den Umfang des Rentenanspruchs ( Art. 28 Abs. 1 und Abs. 1bis IVG ) sowie die Rechtsprechung zu den geistigen Gesundheitsschäden ( BGE 102 V 165 ; AHI 1996 S. 302 Erw. 2a, 305 Erw. 1a und 308 Erw. 2a; ZAK 1992 S. 170 Erw. 2a), zur Aufgabe des Arztes im Rahmen der Invaliditätsbemessung ( BGE 115 V 134 Erw. 2, 105 V 158 Erw. 1) und zur Beweiswürdigung von medizinischen Berichten ( BGE 122 V 160 Erw. 1c; vgl. auch BGE 125 V 352 Erw. 3a) zutreffend dargelegt. Darauf wird verwiesen.</w:t>
      </w:r>
    </w:p>
    <w:p>
      <w:r>
        <w:rPr>
          <w:b/>
        </w:rPr>
        <w:t>E. 3</w:t>
      </w:r>
    </w:p>
    <w:p>
      <w:r>
        <w:t>a) Der Gutachter der IV-Stelle, Dr. med. V.________, diagnostizierte bei der Beschwerdeführerin eine emotional instabile, hypoman-reizbare, aggressiv-misstrauische Borderline-Persönlichkeit (ICD-10 F60. 3) mit histrionischem Einschlag (ICD-10 F60. 4) sowie eine leichtgradige, anhaltende, somatoforme Schmerzstörung (ICD-10 F45. 4) und aggravierte somatische Störungen (ICD-10 F68. 0). Er führte an, die im Vordergrund stehende maniforme Charakterstruktur könne "nicht im eigentlichen Sinne" als krankhaft bezeichnet werden und stelle mehr oder minder eine Normvariante dar. Folglich sei aus dieser Wesenseigenart keine Einbusse an Arbeitsfähigkeit abzuleiten. Die leichtgradige somatoforme Schmerzstörung sei zwar erkennbar, in Umfang und Ausprägung jedoch "kaum solcherart", als daraus wesentliche Einschränkungen der Arbeitsfähigkeit entstünden. Die Angaben der Untersuchten müssten als "vermutlich überhöht und aggraviert" beurteilt werden. Er glaube, dass die Schilderung der Beschwerden "einer etwas blumigen Übertreibung" unterliege, wozu sie "von Natur aus im Rahmen ihrer Charaktereigenschaften" neige. Zusammenfassend könne ein psychiatrisches Leiden von Krankheitswert, aus welchem eine Arbeitsfähigkeit abzuleiten wäre, nicht festgestellt werden. "Die Motive" der Untersuchten seien "nicht im medizinisch-psychiatrischen Bereich, sondern anderweitig" gelagert. b) Der Parteigutachter Dr. med. R.________ kam zur Diagnose einer "Schmerzstörung in Verbindung mit sowohl psychischen Faktoren wie einem medizinischen Krankheitsfaktor - chronisch" (ICD-10 F45. 4). Es komme auch die Kodifizierung als "Anpassungsstörung mit emotionalen Störungen und Störungen des Sozialverhaltens - gemischt - chronisch" (ICD-10 F43. 25) in Frage. Insgesamt führe die komplexe Störung "eindeutig zu einer psychischen Störung mit erheblichem Krankheitswert" und mit einer Verminderung der Arbeitsfähigkeit aus psychischen Gründen von 60 - 70 %. c) Nach dem Gesagten bestehen entgegengesetzte Interpretationen der medizinischen Gegebenheiten, indem der von der IV-Stelle beauftragte Gutachter Dr. med. V.________ gestützt auf die Akten und eine einmalige Untersuchung der Beschwerdeführerin das Vorliegen eines psychiatrischen Leidens mit Krankheitswert und einer dadurch verursachten Einschränkung der Arbeitsfähigkeit verneint, während der Parteigutachter Dr. med. R.________ rund ein Jahr später - in Kenntnis der medizinischen Akten, des Gutachtens von Dr. med. V.________, nach vier Gesprächen mit der Beschwerdeführerin und eigenen Beobachtungen anlässlich der Behandlung in der der Praxis angeschlossenen ambulanten psychiatrischen Ergotherapie - den Krankheitswert der psychischen Störungskomponente als erheblich erachtete und die Einschränkung der Arbeitsfähigkeit auf 60 - 70 % schätzte. d) Für das Verwaltungsgerichtsbeschwerdeverfahren gilt der Grundsatz der freien Beweiswürdigung ( Art. 95 Abs. 2 OG in Verbindung mit Art. 113 und 132 OG ). Danach hat das Gericht die Beweise frei, d.h. ohne Bindung an förmliche Beweisregeln, sowie umfassend und pflichtgemäss zu würdigen. Für das vorliegende 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 BGE 125 V 352 f. Erw. 3, 122 V 160 f. Erw. 1c, je mit Hinweisen). e) Nach dem Gesagten ist bezogen auf den vorliegenden Fall festzustellen, dass dem im Rahmen des Verwaltungsverfahrens eingeholten Gutachten des externen Facharztes Dr. med. V.________ bei der Beweiswürdigung hohe Beweiskraft zuzuerkennen ist und keine konkreten Indizien gegen die Unabhängigkeit des Experten und die Zuverlässigkeit der Expertise sprechen. Beim Parteigutachten von Dr. med. R.________ rechtfertigt der Umstand, dass diese Stellungnahme von der Beschwerdeführerin eingeholt und in das Verfahren eingebracht wurde, nicht Zweifel am ebenfalls hohen Beweiswert. Der Arzt hat sich in seiner Expertise auf Grund persönlicher Untersuchungen der Versicherten und in Kenntnis der medizinischen Vorakten ebenso umfassend, nachvollziehbar und folgerichtig zur Frage geäussert, ob bei der Beschwerdeführerin eine psychische Störung mit Krankheitswert vorliegt. Wie in der Beschwerde mit Recht vorgebracht wird, sind einzelne etwas kategorisch ausgefallene Feststellungen der Vorinstanz, wie etwa, dass das Gutachten R.________ in der Darlegung der medizinischen Zusammenhänge nicht einleuchtend sei, oder dass dessen Schlussfolgerungen wenig nachvollziehbar seien, in ihrer Begründung objektiv nicht ohne weiteres zu vergegenwärtigen. Auch fehlte zu gewissen bei der Interpretation der beiden Expertisen getroffenen Aussagen möglicherweise ohne ein zusätzliches Gutachten oder ein Obergutachten das fachmedizinische Wissen. Es ist somit im Prinzip von einer Gleichwertigkeit der einander in den Schlussfolgerungen widersprechenden Gutachten auszugehen, wobei zur Beweiskraft beider Expertisen doch einschränkend anzumerken ist, dass sich die zwei Sachverständigen zum Grad der Arbeitsunfähigkeit und seiner Begründung nur wenig präzis geäussert haben. Bei dieser Aktenlage kann das Eidgenössische Versicherungsgericht den Fall nicht abschliessend beurteilen. Vielmehr drängt sich ausnahmsweise die Einholung eines Obergutachtens auf, welches sich mit den Widersprüchen zwischen dem IV-Stellen-Gutachter und dem Parteigutachter befassen und prüfen wird, ob bei der Beschwerdeführerin ein Gesundheitsschaden mit Krankheitswert vorliegt. f) Dazu ist die Sache an die Vorinstanz zurückzuweisen, welche unter Gewährung des rechtlichen Gehörs das Obergutachten veranlassen und hernach erneut über den Leistungsanspruch der Beschwerdeführerin befinden wird. Es wird dabei auch in Betracht zu ziehen sein, dass das Eidgenössische Versicherungsgericht in BGE 127 V 299 Erw. 5 unter Hinweis auf die Rechtsprechung präzisierend festgehalten hat,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vgl. Praxis 1997 Nr. 49 S. 255 Erw. 4b) und einem Erwerb nachzugehen (vgl. Hans-Jakob Mosimann, Somatoforme Störungen: Gerichte und [psychiatrische] Gutachten, in: SZS 1999 S. 1 ff. und 105 ff., insbes. S. 15 ff. mit zahlreichen Hinweisen auf die neuere medizinische Lehre; ferner Jacques Meine, L'expertise médicale en Suisse: satisfait-elle aux exigences de qualité actuelles? in: SVZ 1999 S. 37 ff.).</w:t>
      </w:r>
    </w:p>
    <w:p>
      <w:r>
        <w:rPr>
          <w:b/>
        </w:rPr>
        <w:t>E. 4</w:t>
      </w:r>
    </w:p>
    <w:p>
      <w:r>
        <w:t>Im vorliegenden Verfahren geht es um die Bewilligung oder Verweigerung von Versicherungsleistungen, weshalb von der Auferlegung von Gerichtskosten abzusehen ist ( Art. 134 OG ). Dem Prozessausgang entsprechend ist der Beschwerdeführerin eine Parteientschädigung in der von ihrem Rechtsvertreter für das Verfahren vor dem Eidgenössischen Versicherungsgericht verlangten Höhe zuzusprechen (Art. 135 in Verbindung mit Art. 159 OG ). Das Gesuch um unentgeltliche Rechtspflege, einschliesslich der unentgeltlichen Verbeiständung, erweist sich damit als gegenstandslos. Demnach erkennt das Eidg. Versicherungsgericht: I.In Gutheissung der Verwaltungsgerichtsbeschwerde wird der angefochtene Entscheid vom 17. April 2000 aufgehoben und es wird die Sache an das Sozialversicherungsgericht des Kantons Zürich zurückgewiesen, damit es im Sinne der Erwägungen verfahre. II.Es werden keine Gerichtskosten erhoben. III. Die IV-Stelle des Kantons Zürich hat der Beschwerdeführerin eine Parteientschädigung von Fr. 1690.- (einschliesslich Mehrwertsteuer) zu bezahlen. IV.Dieses Urteil wird den Parteien, dem Sozialversicherungsgericht des Kantons Zürich, der Ausgleichskasse des Kantons Zürich und dem Bundesamt für Sozialversicherung zugestellt. Luzern, 20.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