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304/03 vom 22. Juli 2003</w:t>
      </w:r>
    </w:p>
    <w:p>
      <w:r>
        <w:t>Bundesgericht, 2003-07-22, FR</w:t>
      </w:r>
    </w:p>
    <w:p>
      <w:r>
        <w:rPr>
          <w:b/>
        </w:rPr>
        <w:t xml:space="preserve">Quelle: </w:t>
      </w:r>
      <w:r>
        <w:t>https://mcp.opencaselaw.ch/entscheid/bger_I_304_03</w:t>
      </w:r>
    </w:p>
    <w:p>
      <w:r>
        <w:t>FR: TF I 304/03 du 22 juillet 2003</w:t>
      </w:r>
    </w:p>
    <w:p>
      <w:r>
        <w:t>IT: TF I 304/03 del 22 luglio 2003</w:t>
      </w:r>
    </w:p>
    <w:p>
      <w:pPr>
        <w:pStyle w:val="Heading2"/>
      </w:pPr>
      <w:r>
        <w:t>Regeste</w:t>
      </w:r>
    </w:p>
    <w:p>
      <w:r>
        <w:t>Assurance-invalidité</w:t>
      </w:r>
    </w:p>
    <w:p>
      <w:pPr>
        <w:pStyle w:val="Heading2"/>
      </w:pPr>
      <w:r>
        <w:t>Erwägungen</w:t>
      </w:r>
    </w:p>
    <w:p>
      <w:r>
        <w:rPr>
          <w:b/>
        </w:rPr>
        <w:t>E. 1</w:t>
      </w:r>
    </w:p>
    <w:p>
      <w:r>
        <w:t>La loi fédérale sur la partie générale des assurances sociales (LPGA) du 6 octobre 2000, entrée en vigueur au 1er janvier 2003, n'est pas applicable au présent litige, dès lors que le juge des assurances sociales n'a pas à prendre en considération les modifications du droit ou de l'état de fait postérieures à la date déterminante des décisions litigieuses du 15 octobre 2001 ( ATF 127 V 467 consid. 1, 121 V 366 consid. 1b).</w:t>
      </w:r>
    </w:p>
    <w:p>
      <w:r>
        <w:rPr>
          <w:b/>
        </w:rPr>
        <w:t>E. 2</w:t>
      </w:r>
    </w:p>
    <w:p>
      <w:r>
        <w:t>Il est admis, sur le vu des deux expertises ordonnées par l'administration, que, d'un point de vue somatique, l'assuré a une capacité de travail supérieure à 70 %, voire de 100 %, dans une activité légère. A cela s'ajoute toutefois la présence de troubles psychiques, qui, associés aux troubles somatiques, entraînent une incapacité de travail de 40 %. Bien que le recourant conclue à l'octroi d'une «rente d'invalidité à 100 %», le recours ne contient aucune motivation relativement au degré de l'invalidité. En réalité, ce que conteste le recourant, c'est le moment à partir duquel l'office a retenu qu'il présentait une incapacité de travail de 40 % au moins. Est donc litigieux le point de départ du droit à la rente, l'évaluation de l'invalidité par l'office n'apparaissant au demeurant pas sujette à discussion.</w:t>
      </w:r>
    </w:p>
    <w:p>
      <w:r>
        <w:rPr>
          <w:b/>
        </w:rPr>
        <w:t>E. 3</w:t>
      </w:r>
    </w:p>
    <w:p>
      <w:r>
        <w:t>Selon l' art. 29 al. 1 LAI , le droit à la rente au sens de l' 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Il n'est plus contesté, et cela à juste titre, que seule entre en ligne de compte l'application de la lettre b de cette disposition (autrement dit la variante II).</w:t>
      </w:r>
    </w:p>
    <w:p>
      <w:r>
        <w:rPr>
          <w:b/>
        </w:rPr>
        <w:t>E. 4</w:t>
      </w:r>
    </w:p>
    <w:p>
      <w:r>
        <w:t>L'incapacité de travail déterminante pour la période de carence selon l' art. 29 LAI est une diminution du rendement imputable à une atteinte à la santé dans la profession exercée jusqu'alors ou dans le domaine d'activité habituel ( ATF 105 V 159 consid. 2a). Lorsque l'assuré ne peut plus exercer sa profession antérieure, mais qu'il exerce une activité moins bien rémunérée et qu'il subit plus tard une perte de gain supplémentaire due à son état de santé, le taux de l'incapacité de travail pour la détermination de la période de carence se confond pratiquement avec le taux de l'incapacité de gain : on compare le revenu que l'assuré est encore capable d'obtenir dans sa nouvelle profession, après la survenance du handicap supplémentaire, avec le revenu qu'il aurait obtenu dans sa profession antérieure. Dans un tel cas, en effet, on ne peut, pour déterminer l'incapacité moyenne de travail, se fonder uniquement sur l'incapacité subie par l'assuré par rapport à une activité dans laquelle il est déjà partiellement invalide (voir à ce sujet ATF 104 V 144 consid. 2b). De ce point de vue, la situation n'est pas différente s'agissant d'un assuré dont la rente a été supprimée et qui continue néanmoins à subir une invalidité d'une certaine importance (mais insuffisante pour justifier le maintien d'une rente) parce qu'il ne peut plus exercer son activité antérieure. C'est le cas du recourant, à propos duquel le jugement du Tribunal cantonal des assurances du 22 octobre 1998 constate qu'à l'époque déjà il ne pouvait plus exercer sa profession de manoeuvre-serrurier, mais qu'il était néanmoins en mesure d'exercer une activité légère - et moins rémunérée - adaptée à son handicap.</w:t>
      </w:r>
    </w:p>
    <w:p>
      <w:r>
        <w:rPr>
          <w:b/>
        </w:rPr>
        <w:t>E. 5</w:t>
      </w:r>
    </w:p>
    <w:p>
      <w:r>
        <w:t>Pour fixer le moment à partir duquel l'état de santé de l'assuré s'est aggravé, l'office s'est fondé sur une attestation du docteur H.________ à l'intention de la CNA. Ce document, qui faisait suite à un examen du patient en date du 2 juillet 1999, fait état d'une incapacité de travail de 100 % à partir de la même date. Se fondant sur les expertises susmentionnées (rapports des docteurs G.________ et D.________ du 9 septembre 2000 et du docteur R.________ du 19 juin 2001), ainsi que sur la comparaison d'un revenu sans invalidité de 56'000 fr. (comme manoeuvre-serrurier) et d'un revenu d'invalide de 27'843 fr., l'office a fixé à 50 %, dès le mois de juillet 1999, la diminution de la capacité de gain (autrement dit le degré de l'invalidité). Compte tenu du degré antérieur de l'invalidité de 34 % (décision du 4 février 1998, confirmée par le jugement du 22 octobre 1998) et du degré d'invalidité existant de 50 % depuis le mois de juillet 1999, le taux moyen considéré rétrospectivement sur une année atteint 40 % au mois de novembre 1999 (7 mois à 34 % + 5 mois à 50 %). Cette manière de procéder, à laquelle se sont ralliés les premiers juges, n'est pas critiquable au regard de la jurisprudence susmentionnée. C'est en vain que le recourant se prévaut de l'avis du docteur R.________ selon lequel une incapacité de travail de 25 % d'origine psychique existait déjà en 1996. Tout d'abord, le jugement du 22 octobre 1998 ne fait pas état d'une atteinte à la santé psychique qui eût été propre à entraîner une incapacité de travail. D'autre part, si l'expert-psychiatre fait état d'une manifestation des premiers signes d'une affection psychique en 1996, l'affirmation selon laquelle il existait déjà à cette époque une incapacité de travail d'une certaine importance d'origine psychique est une hypothèse qui n'est pas étayée par des éléments suffisamment probants.</w:t>
      </w:r>
    </w:p>
    <w:p>
      <w:r>
        <w:rPr>
          <w:b/>
        </w:rPr>
        <w:t>E. 6</w:t>
      </w:r>
    </w:p>
    <w:p>
      <w:r>
        <w:t>Le recourant se prévaut de l' art. 29bis RAI . Comme le relèvent avec raison les premiers juges, cette disposition n'est toutefois pas applicable en l'espèce, dès lors que l'aggravation est principalement due à des troubles somatoformes douloureux, dont il y a lieu de constater qu'ils n'étaient pas à l'origine de l'invalidité pour laquelle une rente avait été précédemment allouée au recourant. Pour le reste, c'est à bon droit que l'office a fixé le moment du passage du quart de rente à la demi-rente au mois de février 2000 ( art. 88a al. 2 RAI ). Il s'ensuit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