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I_285/2006 vom 23. Januar 2007</w:t>
      </w:r>
    </w:p>
    <w:p>
      <w:r>
        <w:t>Bundesgericht, 2007-01-23, DE</w:t>
      </w:r>
    </w:p>
    <w:p>
      <w:r>
        <w:rPr>
          <w:b/>
        </w:rPr>
        <w:t xml:space="preserve">Quelle: </w:t>
      </w:r>
      <w:r>
        <w:t>https://mcp.opencaselaw.ch/entscheid/bger_I_285_2006</w:t>
      </w:r>
    </w:p>
    <w:p>
      <w:r>
        <w:t>FR: TF I_285/2006 du 23 janvier 2007</w:t>
      </w:r>
    </w:p>
    <w:p>
      <w:r>
        <w:t>IT: TF I_285/2006 del 23 gennaio 2007</w:t>
      </w:r>
    </w:p>
    <w:p>
      <w:pPr>
        <w:pStyle w:val="Heading2"/>
      </w:pPr>
      <w:r>
        <w:t>Erwägungen</w:t>
      </w:r>
    </w:p>
    <w:p>
      <w:r>
        <w:rPr>
          <w:b/>
        </w:rPr>
        <w:t>E. 1</w:t>
      </w:r>
    </w:p>
    <w:p>
      <w:r>
        <w:t>Am 1. Januar 2007 ist das Bundesgesetz über das Bundesgericht vom 17. Juni 2005 (BGG; SR 173.110) in Kraft getreten (AS 2006 1205, 1243). Damit wurde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 März 2006 und somit vor dem 1. Januar 2007 erlassen wurde, richtet sich das Verfahren nach dem bis 31. Dezember 2006 in Kraft gestandenen Bundesgesetz über die Organisation der Bundesrechtspflege (OG) vom 16. Dezember 1943 (vgl. BGE 132 V 395 Erw. 1.2).</w:t>
      </w:r>
    </w:p>
    <w:p>
      <w:r>
        <w:rPr>
          <w:b/>
        </w:rPr>
        <w:t>E. 2</w:t>
      </w:r>
    </w:p>
    <w:p>
      <w:r>
        <w:t>Nach ständiger Rechtsprechung prüft das Bundesgericht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Erw. 2a, 125 V 347 Erw. 1a, 122 V 322 Erw. 1).</w:t>
      </w:r>
    </w:p>
    <w:p>
      <w:r>
        <w:t>Vorliegend ist zu prüfen, ob die Vorinstanz zu Recht auf die Beschwerde vom 11. Juli 2005 gegen den Einspracheentscheid vom 8. Juni 2005 eingetreten ist. Dabei steht in Frage, ob der Rechts- und Einsprachedienst des Amtes für AHV und IV des Kantons Thurgau befugt war, einen Einspracheentscheid zu fällen, mit welchem einerseits die Sache zur ergänzenden Sachverhaltsabklärung an die IV-Stelle zurückgewiesen, anderseits aber das von der IV-Stelle festgesetzte Valideneinkommen bestätigt und schliesslich eine Kürzung des Invalideneinkommens wegen Berücksichtigung invaliditätsfremder Faktoren abgelehnt wurde.</w:t>
      </w:r>
    </w:p>
    <w:p>
      <w:r>
        <w:rPr>
          <w:b/>
        </w:rPr>
        <w:t>E. 3.1</w:t>
      </w:r>
    </w:p>
    <w:p>
      <w:r>
        <w:t>In BGE 131 V 407 hat das Eidgenössische Versicherungsgericht entschieden, dass sich ein Einspracheentscheid im Sinne von Art. 52 ATSG nicht darauf beschränken darf, die vorangegangene Verfügung, welche ein Rechtsverhältnis materiell ordnet, wegen der Notwendigkeit weiterer Abklärungen aufzuheben. Wenn nach Erhebung einer Einsprache festgestellt wird, dass die Entscheidungsgrundlagen unvollständig sind, ist der Sachverhalt unter Wahrung der Parteirechte zu vervollständigen und das Verwaltungsverfahren mit dem Einspracheentscheid abzuschliessen. Weil die zusätzlichen Sachverhaltserhebungen dem Einspracheentscheid selber zu Grunde zu legen sind, kommt diesem notwendigerweise reformatorischer Charakter zu. Diese Rechtsprechung findet ihre Begründung in der Einheitlichkeit des Verwaltungsverfahrens; Verfügungs- und Einspracheverfahren sind als Einheit zu begreifen, auch wenn eine organisatorische Gliederung in verschiedene Verwaltungsstellen besteht. Die einsprechende Person hat ein Recht auf den Erhalt eines Verwaltungsaktes, der das fragliche Rechtsverhältnis entsprechend dem gegenständlichen Umfang der ursprünglichen Verfügung und der erhobenen Rügen sowie auf Grund vollständiger Entscheidungsgrundlagen festlegt. Eine Rückweisung zur ergänzenden Sachverhaltserhebung durch einen Einspracheentscheid ist somit nicht angebracht, eine solche macht nur im instanzübergreifenden Verhältnis Sinn (vgl. BGE 131 V 410 f Erw. 2.1, Urteil M. vom 8. November 2005, I 259/05).</w:t>
      </w:r>
    </w:p>
    <w:p>
      <w:r>
        <w:rPr>
          <w:b/>
        </w:rPr>
        <w:t>E. 3.2</w:t>
      </w:r>
    </w:p>
    <w:p>
      <w:r>
        <w:t>Im vorliegenden Verfahren begnügte sich die Einspracheinstanz nicht mit einer Rückweisung. Sie traf vielmehr bezüglich gewisser Streitpunkte - so auch hinsichtlich des vor dem Bundesgericht noch strittigen Valideneinkommens - verbindliche Festlegungen, welche sie dadurch in die formelle Rechtskraft des Entscheides einbezog, als sie im Dispositiv ausdrücklich auf die Erwägungen verwies (vgl. dazu BGE 120 V 237 Erw. 1 mit Hinweis).</w:t>
      </w:r>
    </w:p>
    <w:p>
      <w:r>
        <w:rPr>
          <w:b/>
        </w:rPr>
        <w:t>E. 3.3</w:t>
      </w:r>
    </w:p>
    <w:p>
      <w:r>
        <w:t>Ein solcher Einspracheentscheid, der neben reformatorischen auch kassatorischen Elemente enthält, verstösst ebenso wie ein rein kassatorischer Entscheid gegen die Anforderung gemäss BGE 131 V 407 (Erw. 2.1 hievor; vgl. Urteil D. vom 20. Januar 2006, U 318/05), da es sich auch dabei nicht um einen instanzabschliessenden Verwaltungsakt handelt.</w:t>
      </w:r>
    </w:p>
    <w:p>
      <w:r>
        <w:t>Wie das vorliegende Verfahren eindrücklich illustriert, führt die Kombination von reformatorischen und kassatorischen Elementen im Einspracheentscheid zudem zu einer unnötigen Erschwernis und einer Verzögerung des Verfahrens: Im hängigen Verfahren vor dem Eidgenössischen Versicherungsgericht geht es einzig um die Höhe des Valideneinkommens. Ist dieses aber rechtskräftig bestimmt, steht lediglich ein Teilaspekt zur Leistungsfestlegung der Invalidenversicherung fest; über die anderen Teilaspekte soll, gemäss dem vom Einspracheentscheid vorgezeichneten Verfahrensablauf -und soweit die Anfechtung von solchen Teilaspekten überhaupt zulässig ist (vgl. BGE 125 V 413 Erw. 2b-d) - die IV-Stelle neu verfügen, womit für diese Punkte jeweils wieder ein Rechtsmittelzug offen steht. Das Gebot eines instanzabschliessenden Einspracheentscheides soll aber gerade solche Konstellationen verhindern. Damit ist der Einspracheentscheid vom 8. Juni 2005 auch mit Blick auf den Grundsatz der Verfahrensökonomie sowie das Beschleunigungsgebot (vgl. BGE 131 V 413 Erw. 2.2.2) unzulässig. Er ist daher, gleich wie der teilweise bestätigende Entscheid der Vorinstanz, von Amtes wegen aufzuheben.</w:t>
      </w:r>
    </w:p>
    <w:p>
      <w:r>
        <w:rPr>
          <w:b/>
        </w:rPr>
        <w:t>E. 4</w:t>
      </w:r>
    </w:p>
    <w:p>
      <w:r>
        <w:t>Das Verfahren ist kostenlos ( Art. 134 OG ). Dem Prozessausgang entsprechend hat der Beschwerdegegner Anspruch auf eine Parteientschädigung zu Lasten der Beschwerdeführerin (Art. 135 in Verbindung mit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