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283/99 vom 2. März 2000</w:t>
      </w:r>
    </w:p>
    <w:p>
      <w:r>
        <w:t>Bundesgericht, 2000-03-02, DE</w:t>
      </w:r>
    </w:p>
    <w:p>
      <w:r>
        <w:rPr>
          <w:b/>
        </w:rPr>
        <w:t xml:space="preserve">Quelle: </w:t>
      </w:r>
      <w:r>
        <w:t>https://mcp.opencaselaw.ch/entscheid/bger_I_283_99</w:t>
      </w:r>
    </w:p>
    <w:p>
      <w:r>
        <w:t>FR: TF I 283/99 du 2 mars 2000</w:t>
      </w:r>
    </w:p>
    <w:p>
      <w:r>
        <w:t>IT: TF I 283/99 del 2 marzo 2000</w:t>
      </w:r>
    </w:p>
    <w:p>
      <w:pPr>
        <w:pStyle w:val="Heading2"/>
      </w:pPr>
      <w:r>
        <w:t>Regeste</w:t>
      </w:r>
    </w:p>
    <w:p>
      <w:r>
        <w:t>Invalidenversicherung</w:t>
      </w:r>
    </w:p>
    <w:p>
      <w:pPr>
        <w:pStyle w:val="Heading2"/>
      </w:pPr>
      <w:r>
        <w:t>Erwägungen</w:t>
      </w:r>
    </w:p>
    <w:p>
      <w:r>
        <w:rPr>
          <w:b/>
        </w:rPr>
        <w:t>E. 3</w:t>
      </w:r>
    </w:p>
    <w:p>
      <w:r>
        <w:t>Zu prüfen bleiben die erwerblichen Auswirkungen der festgestellten Restarbeitsfähigkeit. Mit Vorinstanz und Verwaltung ist, ausgehend von den Angaben des letzten Arbeitgebers (Bericht vom 13. Mai 1996), von einem hypothetischen Einkommen ohne Invalidität (Valideneinkommen) von Fr. 56'550.- im Jahre 1996 auszu- gehen. Für die Bestimmung des trotz Gesundheitsschädigung zumutbarerweise noch realisierbaren Einkommens (Invaliden- einkommen) ist auf die Tabellenlöhne abzustellen, da der Versicherte nach Eintritt des Gesundheitsschadens gemäss eigener Darstellung keine neue Erwerbstätigkeit mehr aufge- nommen hat ( BGE 124 V 322 ). Mit dem kantonalen Gericht ist Tabelle A 1.1.1 der Schweizerischen Lohnstrukturerhebung 1994 des Bundesamtes für Statistik massgebend. Dabei ist der monatliche Bruttolohn (Zentralwert) für die mit ein- fachen und repetitiven Aufgaben (Anforderungsniveau 4) beschäftigten Männer im privaten Sektor auf die durch- schnittliche Arbeitszeit von 41,9 Stunden hochzurechnen und die Nominallohnerhöhung (1995: 1,3 %, 1996: 1,3 %; Die Volkswirtschaft 1998, Heft 1, Anhang S. 28) zu berücksich- tigen, woraus schliesslich ein tabellarisches Gehalt von Fr. 53'234.- resultiert. Wenn die Vorinstanz eine Kürzung des Tabellenlohnes um 15 % vornimmt, womit sich ein Inva- lideneinkommen von Fr. 45'249.- ergibt, ist dies im Rahmen der Angemessenheitskontrolle nicht zu beanstanden ( Art. 132 lit. a OG; BGE 114 V 316 Erw. 5a mit Hinweisen). Es wird dabei namentlich dem Umstand Rechnung getragen, dass Aus- länder nicht immer gleich viel verdienen wie der Durch- schnitt aller Arbeitnehmer, d.h. Schweizer und Ausländer (vgl. Tabelle A 12 der LSE 1996) (nicht veröffentlichtes Urteil J. vom 21. Oktober 1999, I 325/99). Soweit der Be- schwerdeführer einen weitergehenden Abzug geltend macht, kann ihm nicht gefolgt werden. Insbesondere vermag sein Alter keine zusätzliche Reduktion vom Tabellenlohn zu rechtfertigen, da sich der entsprechende Faktor jedenfalls nicht lohnsenkend auswirkt (AHI 1999 S. 237 ff. Erw. 4c). Aus dem Vergleich der hypothetischen Einkommen (Invaliden- einkommen: Fr. 45'249.-; Valideneinkommen: Fr. 56'550.-) resultiert schliesslich eine Erwerbseinbusse von rund 20 %, weshalb die vorinstanzlich bestätigte Abweisung des Renten- begehrens zu Recht erfolgte.</w:t>
      </w:r>
    </w:p>
    <w:p>
      <w:r>
        <w:rPr>
          <w:b/>
        </w:rPr>
        <w:t>E. 4</w:t>
      </w:r>
    </w:p>
    <w:p>
      <w:r>
        <w:t>Da es im vorliegenden Verfahren um Versicherungs- leistungen geht, sind gemäss Art. 134 OG keine Gerichts- kosten zu erheben. Die unentgeltliche Verbeiständung kann gewährt werden (Art. 152 in Verbindung mit Art. 135 OG ), da die Bedürftigkeit aktenkundig ist, die Beschwerde im Zeit- punkt ihrer Einreichung nicht als aussichtslos zu be- zeichnen und die Vertretung geboten war ( BGE 124 V 309 Erw. 6 mit Hinweisen; AHI 1999 S. 85 Erw. 3). Es wird indessen ausdrücklich auf Art. 152 Abs. 3 OG aufmerksam gemacht, wonach die begünstigte Partei der Gerichtskasse Ersatz zu leisten haben wird, wenn sie später dazu im Stande ist. Demnach erkennt das Eidg. Versicherungsgericht: I.Die Verwaltungsgerichtsbeschwerde wird abgewiesen. II.Es werden keine Gerichtskosten erhoben. III.Zufolge Gewährung der unentgeltlichen Verbeiständung wird Rechtsanwalt Dr. I.________ für das Verfahren vor dem Eidgenössischen Versicherungsgericht aus der Ge- richtskasse eine Entschädigung (einschliesslich Mehr- wertsteuer) von Fr. 1500.- ausgerichtet. IV.Dieses Urteil wird den Parteien, dem Sozialversiche- rungsgericht des Kantons Zürich, der Ausgleichskasse des Kantons Zürich und dem Bundesamt für Sozialver- sicherung zugestellt. Luzern, 2. März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