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281/02 vom 9. Januar 2004</w:t>
      </w:r>
    </w:p>
    <w:p>
      <w:r>
        <w:t>Bundesgericht, 2004-01-09, DE</w:t>
      </w:r>
    </w:p>
    <w:p>
      <w:r>
        <w:rPr>
          <w:b/>
        </w:rPr>
        <w:t xml:space="preserve">Quelle: </w:t>
      </w:r>
      <w:r>
        <w:t>https://mcp.opencaselaw.ch/entscheid/bger_I_281_02</w:t>
      </w:r>
    </w:p>
    <w:p>
      <w:r>
        <w:t>FR: TF I 281/02 du 9 janvier 2004</w:t>
      </w:r>
    </w:p>
    <w:p>
      <w:r>
        <w:t>IT: TF I 281/02 del 9 gennaio 2004</w:t>
      </w:r>
    </w:p>
    <w:p>
      <w:pPr>
        <w:pStyle w:val="Heading2"/>
      </w:pPr>
      <w:r>
        <w:t>Regeste</w:t>
      </w:r>
    </w:p>
    <w:p>
      <w:r>
        <w:t>Invalidenversicherung</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1.2</w:t>
      </w:r>
    </w:p>
    <w:p>
      <w:r>
        <w:t>Der Rechtsstreit dreht sich um die Frage, ob Vorinstanz und Verwaltung zu Recht die Übernahme der gesamten Kosten für die Hörgeräteversorgung von Fr. 5982.40 abgelehnt und ihren Anspruch in Anwendung des Tarifvertrages für die Hörgeräteabgabe, in Kraft seit 1. April 1999, auf Fr. 4918.15, entsprechend dem Höchstbetrag der Indikationsstufe 3, beschränkt haben. Damit geht es um die Anwendung eines Tarifes im Einzelfall und nicht um eine Tarifstreitigkeit im Sinne von Art. 129 Abs. 1 lit. b OG , weshalb auf die Verwaltungsgerichtsbeschwerde einzutreten ist.</w:t>
      </w:r>
    </w:p>
    <w:p>
      <w:r>
        <w:rPr>
          <w:b/>
        </w:rPr>
        <w:t>E. 2</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BSV angemessene Höchstbeiträge im Sinne von Artikel 27 IVG festgelegt werden (Abs. 4). Gemäss Ziff. 5.07 HVI 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26bis Abs. 1 IVG ). Von der ihm durch Abs. 2 des Art. 26bis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11 Erw. 5b, ZAK 1982 S. 325 Erw. 3). Entsprechend eingeschränkt ist die Prüfungszuständigkeit des Sozialversicherungsgerichts (EVGE 1968 S. 263; Meyer-Blaser, Rechtsprechung des Bundesgerichts zum IVG, Zürich 1997, S. 188).</w:t>
      </w:r>
    </w:p>
    <w:p>
      <w:r>
        <w:rPr>
          <w:b/>
        </w:rPr>
        <w:t>E. 3.1.3</w:t>
      </w:r>
    </w:p>
    <w:p>
      <w:r>
        <w:t>Das Bundesamt sorgt für eine einheitliche Anwendung des Gesetzes ( Art. 64 Abs. 2 Satz 2 IVG ).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Invalidenversicherung abgegeben würden, wenn keine preisgünstigeren Geräte den Anforderungen zu genügen vermöchten, wobei sich die Schlussexpertise (Rz 5.07.20) darüber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 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wurde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Neu beruht die Tarifgestaltung auf dem Indikationenmodell. Wesentlich ist Art. 4 des Vertrages, wonach Art und Umfang der Leistungen durch die medizinische Indikation im Sinne des Anhanges 3 - und nicht mehr wie bisher nach einer technischen Indikation (vgl. Heiner Waehry, Der neue Hörgerätetarif, in: CHSS 1999, S. 92-94) - bestimmt werden (Art. 4.1 Tarifvertrag). Die Abgabe von Hörgeräten zu Lasten der IV/AHV muss medizinisch indiziert sein, von einem Expertenarzt/einer Expertenärztin verordnet (Expertise 1) und abschliessend von diesem/ dieser überprüft werden (Schlussexpertise oder Expertise 2). Für die Invalidenversicherung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 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die Invalidenversicherung und (75 % davon) für die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 In Bezug auf das Hörgerät und die für seine Anpassung erforderliche Dienstleistung sehen die Hörgerätetarife der Invalidenversicherung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 Die Preislimite insgesamt (variabler Maximalpreis für das Hörgerät und fixe Pauschale für die Dienstleistung) beträgt (exklusiv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 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 Grund von verschiedenen Kriterien berechnet werden. Es sind dies audiometrische Kriterien (Tonaudiogramm, Sprachaudiogramm in Ruhe, überschwellige Prüfungen), sozial-emotionales Handicap sowie berufliche Kommunikationsanforderungen (nur für Erwerbstätige). 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Invalidenversicherung - nach Ziff. 5.57 HVA eine hochgradige Schwerhörigkeit voraussetzt, weshalb die Hochgradigkeit mit dem Erreichen von 40 Punkten definiert wird. Es braucht somit 40 bis 49 Punkte für die Indikationsstufe 1 (einfache Versorgung), 50 bis 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 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 Dabei sind für das Hörgeräteexpertisenwesen zuständig für die Kinder der Kategorie K 2 alle Expertenärzte und für die Kinder der Kategorien K 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Fall ist durch einen zugelassenen Spezialarzt eine audiologische Abklärung durchzuführen (Rz 5.07.03 KHMI). Die Expertenärztin hat für die Mitteilung des Ergebnisses der Ersten Expertise (Einteilung in die massgebliche Indikations-Stufe) das dazu erforderliche Formular im Doppel an die IV-Stelle zu schicken (Rz 5.07.04 erster Satz KHMI).</w:t>
      </w:r>
    </w:p>
    <w:p>
      <w:r>
        <w:rPr>
          <w:b/>
        </w:rPr>
        <w:t>E. 4.1</w:t>
      </w:r>
    </w:p>
    <w:p>
      <w:r>
        <w:t>Im vorliegenden Fall erfolgte die Zusprechung eines Kostenbeitrages an die digitale Hörgeräteversorgung der Beschwerdeführerin über Fr. 4'918.15 (inklusive Mehrwertsteuer) in Anwendung des eben dargestellten Tarifvertrages. Zu prüfen ist, ob diese Anwendung des Tarifs, insbesondere die Begrenzung des Anspruchs auf den Höchstbetrag der Indikationsstufe 3 gemäss Tarifvertrag in der Höhe von Fr. 4'918.15, vor Bundesrecht standhält ( Art. 104 lit. a OG ).</w:t>
      </w:r>
    </w:p>
    <w:p>
      <w:r>
        <w:rPr>
          <w:b/>
        </w:rPr>
        <w:t>E. 4.2</w:t>
      </w:r>
    </w:p>
    <w:p>
      <w:r>
        <w:t>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eigenen Rechtsregeln, sondern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ZAK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127 V 61 Erw. 3a, 126 V 68 Erw. 4b,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Hilfsmitteln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versicherte Person - Versicherung) nicht rechtswirksam zu beschränken ( BGE 123 V 18 , 114 V 90,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Invalidenversicherung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 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 weit sicherstellen will, als diese im Einzelfall notwendig, aber auch genügend ist ( BGE 124 V 110 Erw. 2a, 122 V 214 Erw. 2c,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substanziiert begründen, weshalb die ihr - gestützt auf den vermutungsweise eine ausreichende Eingliederung zulassenden Tarifvertrag - zugesprochene Hörgeräteversorgung in ihrem Fall dem Eingliederungsziel der adäquaten Verständigung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Auffassung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 gehend Rechnung trägt und so in der überwiegenden Zahl der Fälle - der Leiter der Ombudsstelle für Hörgeräte spricht in seiner Stellungnahme von 95 % - zu einer hinreichenden Hörgeräteversorgung im Sinne des Gesetzes führt. Eine in jedem einzelnen Versorgungsfall abschliessende Bedeutung kann ihm jedoch aus den dargelegten rechtlichen Gründen nicht zukommen.</w:t>
      </w:r>
    </w:p>
    <w:p>
      <w:r>
        <w:rPr>
          <w:b/>
        </w:rPr>
        <w:t>E. 5.1</w:t>
      </w:r>
    </w:p>
    <w:p>
      <w:r>
        <w:t>Die Vorinstanz erwog, eine den Verhältnismässigkeitsgrundsatz konkretisierende Festlegung von Hilfsmittelpreisen wie der Tarifvertrag schliesse die Übernahme eines teureren Hilfsmittels nur dann nicht aus, wenn dieses teurere Hilfsmittel durch eine besondere Invalidität ("handicap particulier") bedingt sei (SVR 1997 IV Nr. 108 Erw. 4a, b mit Hinweisen). Dies treffe auf die Beschwerdeführerin nicht zu. Sowohl in der Expertise 1 als auch im Anhörungsschreiben werde die kostspieligere digitale Hilfsmittelversorgung einzig mit der optimalen schulischen Förderung begründet, welche dank der Digitaltechnik zu erzielen sei. Nirgends sei aus den Akten ersichtlich, dass der Beschwerdeführerin wegen der Besonderheit ihres Gehörschadens ein Schulbesuch nur mit den digitalen Hörgeräten möglich sei.</w:t>
      </w:r>
    </w:p>
    <w:p>
      <w:r>
        <w:rPr>
          <w:b/>
        </w:rPr>
        <w:t>E. 5.2</w:t>
      </w:r>
    </w:p>
    <w:p>
      <w:r>
        <w:t>In der Verwaltungsgerichtsbeschwerde wird demgegenüber der Standpunkt vertreten, mit Blick auf das Ziel, dem Kind den Besuch der Regelschule auf Bezirksschul-Niveau zu ermöglichen, seien die beantragten Hörgeräte unbedingt notwendig. Es wird dazu auf den Bericht des Leiters der Ombudsstelle, Q.________, vom 25. März 2002 verwiesen. Dieser führt darin u.a. aus, die Versicherte werde im Familienkreis, ganz besonders durch die Mutter, ausserordentlich gefördert, womit trotz hochgradiger Schwerhörigkeit die schulische Förderung an der öffentlichen Schule möglich geworden sei. Auffallend sei die extreme Lärmempfindlichkeit; dies sei zweifellos eine Folge der stark eingeengten Hördynamik, eine Situation, wie sie bei hochgradig hörbehinderten Kindern immer wieder beobachtet werden könne. Die Beschwerdeführerin sei mit zwei Hörgeräten Phonak Sono Forte 231X versorgt worden. Der Antrag auf Neuversorgung sei erfolgt, da diese Geräte an der Grenze der Leistungsfähigkeit und ausgesteuert gewesen seien, aber auch im Hinblick auf den bevorstehenden Wechsel in die Bezirksschule und den damit verbundenen höheren akustischen Ansprüchen, bedingt durch das Fachlehrersystem. Von Beginn weg sei klar gewesen, dass die Versicherte für den Besuch der öffentlichen Schule weiterhin auf eine FM-Anlage angewiesen sei, dies habe auf Grund der Kompatibilität die Produktewahl auf die beiden Marken Phonak und Widex eingeschränkt. Zudem habe man eine Lösung für die Problematik der extremen Lärmempfindlichkeit finden müssen. Ein erster Versuch mit den beiden analogen Phonak Geräten Sono-Forte 331X und Novo-Forte E3, deren Preise innerhalb der Limiten des Tarifvertrages lägen, hätten bei der Messung zu unterschiedlichen Ergebnissen geführt: Das Novo Forte E3 habe von Beginn weg nicht zu befriedigen vermocht, während das Sono Forte 331X vorerst im Test besser abschnitt. In der anschliessenden probeweisen Benützung in der alltäglichen akustischen Situation, insbesondere in der Schule, seien jedoch auch bei diesem Gerät erhebliche Probleme aufgetreten. Einerseits sei die Versicherte überfordert gewesen, bei den stetig wechselnden akustischen Situationen die Lautstärke fortlaufend manuell zu regeln; zudem herrschte ein ständiger Kampf mit dem Rückkopplungspfeifen, wie dies bei den meisten analogen Hörgeräten noch immer zu beklagen sei. Bei Kindern in der Wachstumsphase sei dies von besonderer Bedeutung, da die Ohrpass-Stücke nur für eine beschränkte, wachstumsabhängige Zeit die erforderliche Abdichtung gewährleisteten. Auf Grund dieser Erfahrungen habe sich ein Versuch mit den neuen digitalen Hörgeräten mit automatischer Rückkopplungsunterdrückung aufgedrängt, zumal damit ganz speziell auch der ausserordentlichen Lärmempfindlichkeit der Versicherten begegnet werden konnte. Solche Geräte böten sowohl Phonak (Phonak Claro 211) wie auch Widex (Widex Senso) an, wobei in beiden Fällen die Tariflimiten der Indikationsstufe 3 überschritten würden. Q.________ führt weiter aus, bei der Versicherten habe mit der Widex-Senso-Versorgung ein deutlicher sprachaudiometrischer Gewinn erzielt werden können. Ebenso bedeutungsvoll sei die Tatsache gewesen, dass damit nun der sehr belastenden Lärmempfindlichkeit entsprochen werden konnte (Loudness Mapping System). Die oft von der Versicherten beklagten Kopfschmerzen seien nicht mehr erwähnt worden. Die vergleichende Anpassung zeige audiometrisch ein markant besseres Ergebnis mit den vollautomatischen Hörgeräten Widex Senso C 18. Bei der Auswertung dieses sprachaudiometrischen Gewinns werde die automatische Lautstärkeregelung deutlich, indem bei leiser Sprache das Ergebnis markant besser ausfalle. Von Bedeutung sei auch der Gewinn bei normaler Konversationslautstärke von 60 dB. Hier erreiche die Versicherte nun eine Silbenverständlichkeit von 95 % mit der abgegebenen Versorgung. Es müsse festgehalten werden, dass diese Messungen in einem schallarmen Raum gemacht würden und lediglich Auskunft gäben über das quantitative Ergebnis, nicht jedoch über das qualitative. Unter Geräusch- und Lärmeinwirkungen sowie unter wechselnden akustischen Bedingungen ergäben sich andere Resultate. Diese müssten in diesem Alter unter Einbezug der persönlichen Beurteilung und der Beurteilung durch die Bezugspersonen (Eltern, Geschwister, Therapeuten und Lehrkräfte) bewertet werden. Es seien weitgehend wahrnehmungs-psychologische Faktoren, die mit einbezogen werden müssten. Im Falle der Versicherten habe die gute Ausnützung der engen Hördynamik auf erhebliche Weise ihre Eingliederungschancen, insbesondere im schulischen Bereich, verbessert.</w:t>
      </w:r>
    </w:p>
    <w:p>
      <w:r>
        <w:rPr>
          <w:b/>
        </w:rPr>
        <w:t>E. 5.3</w:t>
      </w:r>
    </w:p>
    <w:p>
      <w:r>
        <w:t>Die von Q.________ überzeugend und detailliert dargelegten Umstände, welche im Einklang mit der Aktenlage stehen, machen deutlich, dass auf Grund der schwierigen Hörbehinderung der Beschwerdeführerin im Zusammenhang mit ihrer schulischen Situation ein spezifisches, gesteigertes Eingliederungsbedürfnis besteht. Auf Grund seiner Ausführungen erscheint nachvollziehbar, dass eine Versorgung mit den beantragten Hörgeräten insofern als geboten und notwendig erscheinen lässt, als nur diese - und nicht ein Hörgerät der Indikationsstufe 3 - den speziellen Anforderungen genügt und nur damit der Eingliederungserfolg einer hinreichenden Verständigung im schulischen Umfeld gewährleistet werden kann. Eine weitere Abklärung ist entbehrlich, zumal auch Dr. med. J.________ in der Expertise 1 vom 24. August 2000 eine digitale Technologie befürwortet hatte. Zusammenfassend ergibt sich somit, dass die Voraussetzungen für eine Überschreitung der tarifvertraglich vereinbarten Kostenlimite erfüllt sind. Die Beschwerdeführerin hat deshalb Anspruch auf die Übernahme der gesamten Kosten der binauralen Hörgeräteversorung mit zwei Hörgeräten Widex Senso C18-T im Betrag von Fr. 5'982.40 durch die Invalidenversicherung. In diesem Sinne wird die IV-Stelle noch zu verfügen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