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261/01 vom 21. September 2001</w:t>
      </w:r>
    </w:p>
    <w:p>
      <w:r>
        <w:t>Bundesgericht, 2001-09-21, DE</w:t>
      </w:r>
    </w:p>
    <w:p>
      <w:r>
        <w:rPr>
          <w:b/>
        </w:rPr>
        <w:t xml:space="preserve">Quelle: </w:t>
      </w:r>
      <w:r>
        <w:t>https://mcp.opencaselaw.ch/entscheid/bger_I_261_01</w:t>
      </w:r>
    </w:p>
    <w:p>
      <w:r>
        <w:t>FR: TF I 261/01 du 21 septembre 2001</w:t>
      </w:r>
    </w:p>
    <w:p>
      <w:r>
        <w:t>IT: TF I 261/01 del 21 settembre 2001</w:t>
      </w:r>
    </w:p>
    <w:p>
      <w:pPr>
        <w:pStyle w:val="Heading2"/>
      </w:pPr>
      <w:r>
        <w:t>Regeste</w:t>
      </w:r>
    </w:p>
    <w:p>
      <w:r>
        <w:t>Invalidenversicherung</w:t>
      </w:r>
    </w:p>
    <w:p>
      <w:pPr>
        <w:pStyle w:val="Heading2"/>
      </w:pPr>
      <w:r>
        <w:t>Erwägungen</w:t>
      </w:r>
    </w:p>
    <w:p>
      <w:r>
        <w:rPr>
          <w:b/>
        </w:rPr>
        <w:t>E. 1</w:t>
      </w:r>
    </w:p>
    <w:p>
      <w:r>
        <w:t>a) Der gemäss Art. 132 OG auch auf das Verfahren vor dem Eidgenössischen Versicherungsgericht anwendbare Art. 110 Abs. 1 OG lautet: "Ordnet das Gericht einen Schriftenwechsel an, so stellt es die Beschwerde der Vorinstanz und allfälligen anderen Parteien oder Beteiligten zu ...". Aus diesem Wortlaut folgt, dass nicht in jedem Fall ein Schriftenwechsel durchgeführt werden muss (vgl. Botschaft des Bundesrates vom 18. März 1991 betreffend die Änderung des Bundesgesetzes über die Organisation der Bundesrechtspflege sowie die Änderung des Bundesbeschlusses über eine vorübergehende Erhöhung der Zahl der Ersatzrichter und der Urteilsredaktoren des Bundesgerichts, BBl 1991 II 527). Beim Entscheid darüber, ob ein Schriftenwechsel durchgeführt wird, hat das Gericht die Grundsätze des rechtlichen Gehörs zu beachten (vgl. Kölz/Häner, Verwaltungsverfahren und Verwaltungsrechtspflege des Bundes,</w:t>
      </w:r>
    </w:p>
    <w:p>
      <w:r>
        <w:rPr>
          <w:b/>
        </w:rPr>
        <w:t>E. 2</w:t>
      </w:r>
    </w:p>
    <w:p>
      <w:r>
        <w:t>a) Nach Art. 85 Abs. 2 lit. a AHVG in Verbindung mit Art. 69 IVG ist das kantonale Beschwerdeverfahren für die Parteien grundsätzlich kostenlos; eine Spruchgebühr und die Verfahrenskosten dürfen der Beschwerde führenden Partei nur im Falle leichtsinniger oder mutwilliger Beschwerdeführung auferlegt werden (noch nicht in der Amtlichen Sammlung veröffentlichtes Urteil W. vom 4. Mai 2001, U 60/00, Erw. 2d/bb). b) Nach der Rechtsprechung kann leichtsinnige oder mutwillige Prozessführung vorliegen, wenn die Partei ihre Stellungnahme auf einen Sachverhalt abstützt, von dem sie weiss oder bei der ihr zumutbaren Sorgfalt wissen müsste, dass er unrichtig ist. Mutwillige Prozessführung kann unter anderem auch angenommen werden, wenn eine Partei vor der Rekursbehörde an einer offensichtlich gesetzwidrigen Auffassung festhält. Leichtsinnige oder mutwillige Prozessführung liegt aber so lange nicht vor, als es der Partei darum geht, einen bestimmten, nicht als willkürlich erscheinenden Standpunkt durch das Gericht beurteilen zu lassen. Dies gilt auch dann, wenn das Gericht die Partei im Laufe des Verfahrens von der Unrichtigkeit ihres Standpunktes überzeugen und zu einem entsprechenden Verhalten (Beschwerderückzug) veranlassen will. Die Erhebung einer aussichtslosen Beschwerde darf einer leichtsinnigen oder mutwilligen Beschwerdeführung nicht gleichgesetzt werden. Das Merkmal der Aussichtslosigkeit für sich allein lässt einen Prozess noch nicht als leichtsinnig oder mutwillig erscheinen. Vielmehr bedarf es zusätzlich des subjektiven - tadelnswerten - Elements, dass die Partei die Aussichtslosigkeit bei der ihr zumutbaren vernunftgemässen Überlegung ohne weiteres erkennen konnte, den Prozess aber trotzdem führt ( BGE 124 V 287 Erw. 3b mit Hinweisen).</w:t>
      </w:r>
    </w:p>
    <w:p>
      <w:r>
        <w:rPr>
          <w:b/>
        </w:rPr>
        <w:t>E. 3</w:t>
      </w:r>
    </w:p>
    <w:p>
      <w:r>
        <w:t>a) Der Vorinstanz, auf deren materiellrechtliche Begründung bezüglich der im vorliegenden Verfahren nicht mehr streitigen Plafonierung der beiden Renten eines Ehepaars auf 150 % des Höchstbetrags der Altersrente verwiesen werden kann, ist insofern beizupflichten, als sie die bei ihr eingereichte Beschwerde als aussichtslos qualifizierte. Zu beachten ist indessen, dass in der angefochtenen Verwaltungsverfügung (ebenso wie in der an den Ehemann gerichteten Verfügung) samt Beilagen weder die anwendbaren Bestimmungen zitiert noch der massgebende Höchstbetrag einer Altersrente genannt wurden. Die Begründung der Verfügung erlaubte den Betroffenen deshalb nicht, die Verfügung hinsichtlich der Plafonierung nachzuvollziehen. In Anbetracht der sehr knapp gehaltenen Begründung konnten die Beschwerdeführenden folglich die Aussichtslosigkeit bei der ihnen zumutbaren vernunftgemässen Überlegung nicht ohne weiteres erkennen, und es kann ihnen nicht vorgeworfen werden, sie hätten in willkürlicher Weise einen falschen Rechtsstandpunkt vertreten. Die Beschwerdeeinreichung kann deshalb nicht als leichtsinnig oder mutwillig bezeichnet werden (vgl. AHI 1998 S. 190 Erw. 3b; vgl. auch RSKV 1979 Nr. 383 S. 229 Erw. 5). b) Am Fehlen mutwilliger oder leichtsinniger Beschwerdeführung ändert das Schreiben des vorinstanzlichen Instruktionsrichters, mit welchem den Beschwerdeführenden die Rechtslage dargelegt und die Auferlegung von Verfahrenskosten in Aussicht gestellt wurde, nichts (vgl. BGE 124 V 288 Erw. 3b). Anders zu entscheiden hiesse, den kantonalen Gerichten zu erlauben, die Versicherten bei aussichtslosen Beschwerden vor die Wahl zu stellen, sich mit einer nur summarischen (die Aussichtslosigkeit darlegenden und die Auferlegung von Kosten androhenden) Begründung zu begnügen und die Beschwerde zurückzuziehen oder aber Verfahrenskosten zu bezahlen. Dadurch würde das Recht der Versicherten (vgl. ZAK 1987 S. 119 Erw. 3a), in einem abgesehen von leichtsinniger oder mutwilliger Beschwerdeführung kostenlosen Verfahren ein Urteil zu erhalten, vereitelt, indem die Gerichte aussichtslose in mutwillige bzw. leichtsinnige Beschwerden umwandeln könnten. Vom Grundsatz, dass eine Recht suchende Person Anspruch auf ein gerichtliches Urteil und nicht bloss auf eine Beurteilung der Erfolgsaussichten durch den Instruktionsrichter hat, kann nur bei ganz klaren und eindeutigen Situationen abgewichen werden (ZAK 1987 S. 119 Erw. 3a). Eine solche Ausnahme ist vorliegend umso weniger gerechtfertigt, als auch das Schreiben des Instruktionsrichters die anwendbaren Rechtssätze nicht nannte. c) Nach dem Gesagten ist festzustellen, dass das kantonale Gericht durch die Annahme von Mutwilligkeit und die gestützt darauf erfolgte Kostenüberbindung Art. 85 Abs. 2 lit. a AHVG und damit Bundesrecht (vgl. Art. 104 lit. a in Verbindung mit Art. 132 OG ) verletzt hat, sodass dessen Entscheid im Kostenpunkt aufzuheben ist. Da der vorinstanzliche Kostenentscheid schon mit der angeführten Begründung aufzuheben ist, braucht nicht auf die Fragen eingegangen zu werden, ob die Beschwerdeführenden rechtzeitig einen Beschwerderückzug der Post übergaben und ob es sich bei ihrer ans kantonale Gericht adressierten Eingabe überhaupt um eine Beschwerde handelte.</w:t>
      </w:r>
    </w:p>
    <w:p>
      <w:r>
        <w:rPr>
          <w:b/>
        </w:rPr>
        <w:t>E. 4</w:t>
      </w:r>
    </w:p>
    <w:p>
      <w:r>
        <w:t>Das Verfahren vor dem Eidgenössischen Versicherungsgericht ist an sich kostenpflichtig, weil es nicht um die Bewilligung oder Verweigerung von Versicherungsleistungen, sondern um die rein prozessuale Frage der Auferlegung von Verfahrenskosten geht ( Art. 134 OG e contrario). Nach Art. 156 Abs. 1 OG (in Verbindung mit Art. 135 OG ) werden die letztinstanzlichen Gerichtskosten in der Regel der unterliegenden Partei auferlegt. Dabei sind sie grundsätzlich aufgrund der Anträge der Beschwerde führenden Partei, gemessen am Ergebnis der Anfechtung des vorinstanzlichen Entscheides - und somit ohne Rücksicht auf die Anträge der Gegenpartei - zu verlegen, auch wenn Letztere den vorinstanzlichen Entscheid nicht zu vertreten hat ( BGE 123 V 156 , 159 Erw. 4b). Die IV-Stelle hätte demnach als formell unterliegende Beschwerdegegnerin grundsätzlich die Gerichtskosten zu tragen. Angesichts der konkreten Umstände lässt es sich indes rechtfertigen, vorliegend ausnahmsweise keine Kosten aufzuerlegen. Nachdem die Beschwerde führenden Ehegatten infolge ihres Obsiegens keine Gerichtskosten zu tragen haben (Art. 156 Abs. 1 in Verbindung mit Art. 135 OG ), erweist sich deren Gesuch um unentgeltliche Rechtspflege im Sinne der Befreiung von den Gerichtskosten als gegenstandslos. Demnach erkennt das Eidg. Versicherungsgericht: I. In Gutheissung der Verwaltungsgerichtsbeschwerde wird Dispositiv-Ziffer 2 des Entscheids des Verwaltungsgerichts des Kantons Bern vom 5. April 2001 aufgehoben. II. Es werden keine Gerichtskosten erhoben. III. Dieses Urteil wird den Parteien, dem Verwaltungsgericht des Kantons Bern, Sozialversicherungsrechtliche Abteilung, der Ausgleichskasse des Kantons Bern und dem Bundesamt für Sozialversicherung zugestellt. Luzern, 21. September 2001 Im Namen des Eidgenössischen Versicherungsgerichts Der Vorsitzende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