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249/02 vom 31. Oktober 2002</w:t>
      </w:r>
    </w:p>
    <w:p>
      <w:r>
        <w:t>Bundesgericht, 2002-10-31, FR</w:t>
      </w:r>
    </w:p>
    <w:p>
      <w:r>
        <w:rPr>
          <w:b/>
        </w:rPr>
        <w:t xml:space="preserve">Quelle: </w:t>
      </w:r>
      <w:r>
        <w:t>https://mcp.opencaselaw.ch/entscheid/bger_I_249_02</w:t>
      </w:r>
    </w:p>
    <w:p>
      <w:r>
        <w:t>FR: TF I 249/02 du 31 octobre 2002</w:t>
      </w:r>
    </w:p>
    <w:p>
      <w:r>
        <w:t>IT: TF I 249/02 del 31 ottobre 2002</w:t>
      </w:r>
    </w:p>
    <w:p>
      <w:pPr>
        <w:pStyle w:val="Heading2"/>
      </w:pPr>
      <w:r>
        <w:t>Regeste</w:t>
      </w:r>
    </w:p>
    <w:p>
      <w:r>
        <w:t>Assurance-invalidité</w:t>
      </w:r>
    </w:p>
    <w:p>
      <w:pPr>
        <w:pStyle w:val="Heading2"/>
      </w:pPr>
      <w:r>
        <w:t>Erwägungen</w:t>
      </w:r>
    </w:p>
    <w:p>
      <w:r>
        <w:rPr>
          <w:b/>
        </w:rPr>
        <w:t>E. 1.1</w:t>
      </w:r>
    </w:p>
    <w:p>
      <w:r>
        <w:t>L'objet de la contestation, déterminé par la décision administrative du 17 août 2001, porte sur le point de savoir si l'office intimé était en droit de refuser, d'une part, de reconsidérer sa décision du 8 mars 1999 et, d'autre part, d'entrer en matière sur la nouvelle demande de prestations présentée par le recourant le 11 avril 2001.</w:t>
      </w:r>
    </w:p>
    <w:p>
      <w:r>
        <w:rPr>
          <w:b/>
        </w:rPr>
        <w:t>E. 1.2</w:t>
      </w:r>
    </w:p>
    <w:p>
      <w:r>
        <w:t>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 ATF 126 V 23 consid. 4b, 46 consid. 2b, 400 consid. 2b/aa et les arrêts cités). En l'occurrence, la décision de refus de prestations du 8 mars 1999 a été confirmée par le jugement du Tribunal des assurances du canton de Vaud du 8 décembre 1999. Elle ne pouvait donc, pour ce motif déjà, donner lieu à reconsidération, ce que l'intimé a constaté à juste titre dans la décision litigieuse du 17 août 2001.</w:t>
      </w:r>
    </w:p>
    <w:p>
      <w:r>
        <w:rPr>
          <w:b/>
        </w:rPr>
        <w:t>E. 1.3</w:t>
      </w:r>
    </w:p>
    <w:p>
      <w:r>
        <w:t>Il reste à examiner la question du refus d'entrer en matière sur la nouvelle demande de prestations du 11 avril 2001. Dès lors que le litige ne porte que sur le bien-fondé de la décision de non-entrée en matière, les conclusions du recourant tendant à l'octroi d'une rente d'invalidité sont irrecevables. Pour le surplus, il convient d'entrer en matière sur le recours de droit administratif.</w:t>
      </w:r>
    </w:p>
    <w:p>
      <w:r>
        <w:rPr>
          <w:b/>
        </w:rPr>
        <w:t>E. 2.1</w:t>
      </w:r>
    </w:p>
    <w:p>
      <w:r>
        <w:t>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 art. 87 al. 3 et 4 RAI ).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 faits déterminants ( ATF 125 V 412 consid. 2b, 117 V 200 consid. 4b et les références).</w:t>
      </w:r>
    </w:p>
    <w:p>
      <w:r>
        <w:rPr>
          <w:b/>
        </w:rPr>
        <w:t>E. 2.2</w:t>
      </w:r>
    </w:p>
    <w:p>
      <w:r>
        <w:t>A l'appui de sa demande du 11 avril 2001, le recourant a versé au dossier un rapport médical établi par le docteur A.________, spécialiste FMH en orthopédie, le 9 mai 2001, ainsi que, au cours de la procédure cantonale de recours, trois rapports et un courrier du docteur B.________, spécialiste FMH en neurochirurgie, respectivement des 16 septembre et 3 décembre 2000, 26 octobre et 19 décembre 2001. A la lumière de ces pièces, les premiers juges ont considéré que l'état de santé du recourant ne s'était pas modifié depuis le refus de prestations du 8 mars 1999, confirmé par jugement du 8 décembre 1999. Dès lors que ce dernier n'avait pas rendu plausible l'aggravation de son état de santé, ils ont estimé que la décision litigieuse de refus d'entrer en matière devait être confirmée.</w:t>
      </w:r>
    </w:p>
    <w:p>
      <w:r>
        <w:rPr>
          <w:b/>
        </w:rPr>
        <w:t>E. 2.3</w:t>
      </w:r>
    </w:p>
    <w:p>
      <w:r>
        <w:t>On ne saurait partager ce point de vue. En effet, le docteur B.________ a, dans ses différents rapports et courriers, clairement attesté que l'état de santé du recourant s'était aggravé au cours de l'année 2000 en raison de lésions lombaires, aussi bien récidivantes que nouvelles, ce qui l'empêchait d'exercer l'activité d'agent de voyages dans laquelle il avait tenté de se réadapter. Ainsi, les examens radiologiques effectués à la fin de l'année 2000 ont mis en évidence une récidive de hernie discale L5-S1 - lésion qu'avaient diagnostiquée les médecins du COMAI dans leurs rapports des 8 juillet 1994 et 9 juin 1998 -, ainsi qu'une nouvelle hernie discale (médiane L4-L5), une insuffisance segmentaire lombaire en L4-L5 et L5-S1 et l'existence d'un canal lombaire étroit (rapport du 3 décembre 2000). L'aggravation des troubles s'explique également, selon le docteur B.________, par le fait que le canal lombaire étroit est une affection dégénérative typiquement progressive qui va vers une augmentation lente mais inéluctable de la symptomatologie. Ces constatations ont par la suite été confirmées par les observations faites par le docteur B.________ au cours de l'opération subie par le recourant le 26 octobre 2001 (protocole opératoire du 26 octobre 2001). Selon le praticien, la récidive de hernie discale doit être mise en relation avec les interventions chirurgicales antérieures, puisqu'il s'agit «du même problème qui s'est simplement aggravé» (courrier du 19 décembre 2001 au conseil du recourant). A cet égard, on précisera que certains des rapports du docteur B.________ ont été rendus postérieurement à la décision litigieuse du 17 août 2001, mais permettent d'apprécier les circonstances au moment où cette décision a été rendue, de sorte qu'ils peuvent être pris en compte ( ATF 99 V 102 et les arrêts cités). L'existence d'une aggravation des affections lombaires du recourant est du reste également affirmée par la doctoresse C.________, médecin traitant du recourant depuis 1999. Dans son rapport du 16 avril 2002, produit en instance fédérale, la praticienne confirme que certaines lésions qui n'étaient pas présentes en 1998, telles une lésion radiculaire L5 et une insuffisance segmentaire (instabilité) L4-L5 et L5-S1, ont conduit à une aggravation de l'état de santé du patient liée à ses affections antérieures. Elle reconnaît en outre à ce dernier une incapacité de travail de 100%. Cette appréciation des lésions du recourant et de sa capacité de travail ne concorde à l'évidence plus avec celle qu'avaient donnée les médecins du COMAI en 1994, puis en 1998. Dans ces conditions, les premiers juges ne pouvaient nier que le recourant avait au moins rendu plausible que son invalidité s'était aggravée postérieurement à la décision du 8 mars 1999 de manière à influencer ses droits ( art. 87 al. 3 RAI ), ce qui aurait justifié un nouvel examen du cas ( art. 87 al. 4 RAI ). Pour ce motif, le recours sera admis et la cause renvoyée à l'office intimé pour qu'il entre en matière sur la demande du 11 avril 2001 et statue sur celle-ci.</w:t>
      </w:r>
    </w:p>
    <w:p>
      <w:r>
        <w:rPr>
          <w:b/>
        </w:rPr>
        <w:t>E. 3</w:t>
      </w:r>
    </w:p>
    <w:p>
      <w:r>
        <w:t>Le recourant qui obtient gain de cause a droit à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