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I_231/2006 vom 24. Mai 2006</w:t>
      </w:r>
    </w:p>
    <w:p>
      <w:r>
        <w:t>Bundesgericht, 2006-05-24, FR</w:t>
      </w:r>
    </w:p>
    <w:p>
      <w:r>
        <w:rPr>
          <w:b/>
        </w:rPr>
        <w:t xml:space="preserve">Quelle: </w:t>
      </w:r>
      <w:r>
        <w:t>https://mcp.opencaselaw.ch/entscheid/bger_I_231_2006</w:t>
      </w:r>
    </w:p>
    <w:p>
      <w:r>
        <w:t>FR: TF I_231/2006 du 24 mai 2006</w:t>
      </w:r>
    </w:p>
    <w:p>
      <w:r>
        <w:t>IT: TF I_231/2006 del 24 maggio 2006</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Il examine d'office la recevabilité des recours qui lui sont soumis ( ATF 126 V 31 consid. 1 et la jurisprudence citée).</w:t>
      </w:r>
    </w:p>
    <w:p>
      <w:r>
        <w:t>D'après l' art. 5 al. 2 PA , sont considérées comme des décisions également les décisions incidentes au sens de l' art. 45 PA , soit notamment celles qui portent sur l'effet suspensif du recours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124 V 85 consid. 2 et les références).</w:t>
      </w:r>
    </w:p>
    <w:p>
      <w:r>
        <w:rPr>
          <w:b/>
        </w:rPr>
        <w:t>E. 2.1</w:t>
      </w:r>
    </w:p>
    <w:p>
      <w:r>
        <w:t>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126 V 247 consid. 2c, 124 V 87 consid. 4, 121 V 116 et les références). Un intérêt digne de protection à ce que la décision attaquée soit immédiatement annulée ou modifiée est en principe suffisant ( ATF 126 V 246 consid. 2a et les références).</w:t>
      </w:r>
    </w:p>
    <w:p>
      <w:r>
        <w:t>Par ailleurs, la jurisprudence admet que la condition du préjudice irréparable est remplie lorsque la cessation subite du versement d'une rente est susceptible de compromettre la situation financière de l'assuré et de le contraindre à prendre des mesures onéreuses ou d'autres dispositions qui ne sont pas raisonnablement exigibles ( ATF 119 V 487 consid. 2b et les références).</w:t>
      </w:r>
    </w:p>
    <w:p>
      <w:r>
        <w:rPr>
          <w:b/>
        </w:rPr>
        <w:t>E. 2.2</w:t>
      </w:r>
    </w:p>
    <w:p>
      <w:r>
        <w:t>Le jugement final à intervenir pourra sans conteste être déféré au Tribunal fédéral des assurances. En outre, le recourant a un intérêt à l'annulation immédiate du jugement incident du 15 février 2006, attendu que la rente a été supprimée dès le 1er février 2003 à la suite de la décision sur opposition du 13 décembre 2005. Les conditions de recevabilité sont ainsi réalisées.</w:t>
      </w:r>
    </w:p>
    <w:p>
      <w:r>
        <w:rPr>
          <w:b/>
        </w:rPr>
        <w:t>E. 3.1</w:t>
      </w:r>
    </w:p>
    <w:p>
      <w:r>
        <w:t>La loi fédérale sur la partie générale du droit des assurances sociales du 6 octobre 2000 (LPGA) et l'ordonnance sur la partie générale du droit des assurances sociales (OPGA) du 11 septembre 2002 sont entrées en vigueur le 1er janvier 2003, entraînant la modification de diverses dispositions matérielles et de procédure dans le domaine de l'assurance-invalidité. Selon la jurisprudence, les nouvelles règles de procédure sont en principe immédiatement et pleinement applicables dès leur entrée en vigueur, à défaut de dispositions transitoires contraires ( ATF 129 V 115 consid. 2.2, 117 V 93 consid. 6b, 112 V 360 consid. 4a et 111 V 47 et les références; RAMA 1998 n° KV 37 p. 316 consid. 3b). Sont applicables en l'espèce les nouvelles règles de procédure entrées en vigueur le 1er janvier 2003 qui figurent dans la LPGA et l'OPGA ou ont été instituées sur cette base dans des lois spéciales (arrêt P.-S. du 24 février 2004 consid. 1.1 [I 46/04], in HAVE 2004 p. 127).</w:t>
      </w:r>
    </w:p>
    <w:p>
      <w:r>
        <w:rPr>
          <w:b/>
        </w:rPr>
        <w:t>E. 3.2</w:t>
      </w:r>
    </w:p>
    <w:p>
      <w:r>
        <w:t>Selon l' art. 55 al. 1 LPGA , les points de procédure qui ne sont pas réglés de manière exhaustive aux art. 27 à 54 LPGA ou par les dispositions des lois spéciales sont régis par la loi fédérale du 20 décembre 1968 sur la procédure administrative (RS 172.021). L' art. 61 LPGA pose des exigences auxquelles doit satisfaire la procédure devant le tribunal cantonal des assurances, laquelle est réglée par le droit cantonal, sous réserve de l' art. 1 al. 3 PA . L' art. 56 LPGA , qui concerne le droit de recours, ne règle pas l'effet suspensif éventuel du recours (Ueli Kieser, ATSG-Kommentar, p. 562 ch. m. 16 ad art. 56 et la référence; ATF 129 V 376 consid. 4.3 in fine). Par renvoi de l' art. 1 al. 3 PA , l' art. 55 al. 2 et 4 PA , concernant le retrait de l'effet suspensif, s'applique à la procédure devant les autorités cantonales de dernière instance qui ne statuent pas définitivement en vertu du droit public fédéral. Est réservé l' art. 97 LAVS relatif au retrait de l'effet suspensif pour les recours formés contre les décisions des caisses de compensation. Aux termes de l' art. 97 LAVS , applicable par analogie à l'assurance-invalidité en vertu de l' art. 66 LAI (dispositions applicables en l'espèce, dans leur nouvelle teneur en vigueur depuis le 1er janvier 2003 [arrêt précité P.-S. du 24 février 2004]), la caisse de compensation peut, dans sa décision, prévoir qu'un recours éventuel n'aura pas d'effet suspensif, même si la décision porte sur une prestation pécuniaire.</w:t>
      </w:r>
    </w:p>
    <w:p>
      <w:r>
        <w:rPr>
          <w:b/>
        </w:rPr>
        <w:t>E. 3.3</w:t>
      </w:r>
    </w:p>
    <w:p>
      <w:r>
        <w:t>L'entrée en vigueur de la LPGA et de l'OPGA n'a rien changé à la jurisprudence en matière de retrait par l'administration de l'effet suspensif à une opposition ou à un recours ou de restitution de l'effet suspensif (arrêt précité P.-S. du 24 février 2004).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 art. 55 PA ,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 ATF 124 V 88 s. consid. 6a, 117 V 191 consid. 2b et les références). Ces principes s'appliquaient également dans le cadre de l' art. 97 al. 2 LAVS (teneur en vigueur jusqu'au 31 décembre 2002; ATF 110 V 46 ), applicable par analogie à l'assurance-invalidité en vertu de l' art. 81 LAI (abrogé par la LPGA).</w:t>
      </w:r>
    </w:p>
    <w:p>
      <w:r>
        <w:rPr>
          <w:b/>
        </w:rPr>
        <w:t>E. 4.1</w:t>
      </w:r>
    </w:p>
    <w:p>
      <w:r>
        <w:t>Procédant à la pesée des intérêts en présence, la juridiction cantonale a considéré que l'issue du litige au fond était incertaine et que le recourant risquerait de ne pas pouvoir rembourser les prestations versées. Dès lors l'intérêt de l'administration l'emportait sur celui de l'assuré.</w:t>
      </w:r>
    </w:p>
    <w:p>
      <w:r>
        <w:rPr>
          <w:b/>
        </w:rPr>
        <w:t>E. 4.2</w:t>
      </w:r>
    </w:p>
    <w:p>
      <w:r>
        <w:t>En bref, le recourant reproche à l'intimé d'avoir gravement violé son droit d'être entendu, lors de la procédure d'opposition, par le fait de ne pas l'avoir informé qu'il venait d'obtenir un nouvel avis médical sur la base duquel il a réformé la décision du 3 décembre 2004 à son détriment. Par ailleurs, il estime que le Tribunal des assurances a mal pesé les intérêts en présence, car la suppression de la rente le met dans le besoin et l'issue du litige (le droit à une demi-rente, au moins) lui paraît absolument certaine. Ces éléments justifient, à ses yeux, que l'effet suspensif soit restitué à son recours cantonal.</w:t>
      </w:r>
    </w:p>
    <w:p>
      <w:r>
        <w:rPr>
          <w:b/>
        </w:rPr>
        <w:t>E. 4.3</w:t>
      </w:r>
    </w:p>
    <w:p>
      <w:r>
        <w:t>Comme en première instance, le recourant conclut à ce que l'effet suspensif soit restitué à son recours cantonal, en ce sens qu'une rente entière lui soit versée à titre provisionnel. Nonobstant les termes quelque peu ambigus qu'il utilise, on doit admettre qu'il s'agit bien là d'une demande de restitution de l'effet suspensif au recours cantonal et non d'une demande de mesures provisionnelles au sens de l' art. 94 OJ auquel renvoie l' art. 113 OJ . De telles mesures provisionnelles (tendant en l'occurrence à l'octroi immédiat de prestations de l'assurance-invalidité) ne pourraient d'ailleurs qu'être rejetées, car elles ne sont légitimes, aux termes de la loi ( art. 94 OJ ),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 ATF 119 V 506 consid. 3 et les références).</w:t>
      </w:r>
    </w:p>
    <w:p>
      <w:r>
        <w:t>Aussi bien en procédure de recours de première instance que devant le Tribunal fédéral des assurances, le recourant a allégué que sa rente d'invalidité constitue sa seule source de revenus. En pareilles circonstances, l'intérêt de l'administration apparaît généralement prépondérant, car il est patent que le recourant ne pourrait pas rembourser les prestations versées, ce qui justifie le retrait de l'effet suspensif ( ATF 105 V 269 s. consid. 3; VSI 2000 p. 187 consid. 5).</w:t>
      </w:r>
    </w:p>
    <w:p>
      <w:r>
        <w:t>Par ailleurs, les prévisions sur l'issue du litige au fond, pour qu'elles soient prises en considération en faveur du recourant, ne doivent faire aucun doute ( ATF 124 V 89 consid. 6a, 117 V 191 consid. 2b, 111 V 56 consid. 1, 110 V 45 consid. 5b). Or dans le cas particulier, le recourant a été informé, de manière circonstanciée et motivée, que l'intimé envisageait de réformer la décision du 3 décembre 2004 à son détriment (cf. lettre du 17 octobre 2005), si bien que d'un point de vue formel, on ne saurait déduire d'emblée que son droit d'être entendu aurait été violé de façon à annuler la décision litigieuse. De plus, les avis des parties divergent quant à la situation médicale et l'appréciation de l'étendue de la capacité de travail, si bien qu'il n'est pas non plus possible, d'entrée de cause, de suivre le recourant. En d'autres termes, les chances de succès du recours sur le fond ne paraissent pas particulièrement étendues à première vue. Dans ces circonstances, on doit convenir que les prévisions sur l'issue du litige au fond ne présentent manifestement pas un degré de certitude suffisant pour être prises en considération en faveur du recourant dans le cadre de la pesée des intérêts en présence.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