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223/03 vom 18. Juli 2003</w:t>
      </w:r>
    </w:p>
    <w:p>
      <w:r>
        <w:t>Bundesgericht, 2003-07-18, FR</w:t>
      </w:r>
    </w:p>
    <w:p>
      <w:r>
        <w:rPr>
          <w:b/>
        </w:rPr>
        <w:t xml:space="preserve">Quelle: </w:t>
      </w:r>
      <w:r>
        <w:t>https://mcp.opencaselaw.ch/entscheid/bger_I_223_03</w:t>
      </w:r>
    </w:p>
    <w:p>
      <w:r>
        <w:t>FR: TF I 223/03 du 18 juillet 2003</w:t>
      </w:r>
    </w:p>
    <w:p>
      <w:r>
        <w:t>IT: TF I 223/03 del 18 luglio 2003</w:t>
      </w:r>
    </w:p>
    <w:p>
      <w:pPr>
        <w:pStyle w:val="Heading2"/>
      </w:pPr>
      <w:r>
        <w:t>Regeste</w:t>
      </w:r>
    </w:p>
    <w:p>
      <w:r>
        <w:t>Assurance-invalidité</w:t>
      </w:r>
    </w:p>
    <w:p>
      <w:pPr>
        <w:pStyle w:val="Heading2"/>
      </w:pPr>
      <w:r>
        <w:t>Erwägungen</w:t>
      </w:r>
    </w:p>
    <w:p>
      <w:r>
        <w:rPr>
          <w:b/>
        </w:rPr>
        <w:t>E. 1.1</w:t>
      </w:r>
    </w:p>
    <w:p>
      <w:r>
        <w:t>Le litige porte sur le droit à une rente d'invalidité, singulièrement sur le taux d'invalidité.</w:t>
      </w:r>
    </w:p>
    <w:p>
      <w:r>
        <w:rPr>
          <w:b/>
        </w:rPr>
        <w:t>E. 1.2</w:t>
      </w:r>
    </w:p>
    <w:p>
      <w:r>
        <w:t>La loi fédérale sur la partie générale du droit des assurances sociales (LPGA) du 6 octobre 2000, entrée en vigueur le 1er janvier 2003, n'est pas applicable en l'espèce, dès lors que le juge des assurances sociales n'a pas à prendre en considération les modifications du droit ou de l'état de fait postérieures à la date déterminante de la décision litigieuse, à savoir le 27 septembre 2002 ( ATF 127 V 467 consid. 1, 121 V 366 consid. 1b).</w:t>
      </w:r>
    </w:p>
    <w:p>
      <w:r>
        <w:rPr>
          <w:b/>
        </w:rPr>
        <w:t>E. 2.1</w:t>
      </w:r>
    </w:p>
    <w:p>
      <w:r>
        <w:t>Selon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 D'après l' art. 4 al. 1 LAI , l'invalidité est la diminution de la capacité de gain, présumée permanente ou de longue durée, qui résulte d'une atteinte à la santé physique ou mentale provenant d'une infirmité congénitale, d'une maladie ou d'un accident.</w:t>
      </w:r>
    </w:p>
    <w:p>
      <w:r>
        <w:rPr>
          <w:b/>
        </w:rPr>
        <w:t>E. 2.2</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rPr>
          <w:b/>
        </w:rPr>
        <w:t>E. 2.3</w:t>
      </w:r>
    </w:p>
    <w:p>
      <w:r>
        <w:t>En l'occurrence, les premiers juges ont retenu du dossier médical que l'assuré est capable d'exercer n'importe quelle activité industrielle légère à plein temps mais avec un rendement de 50 %. Les examens aboutissant au diagnostic de lombalgies mécaniques chroniques basses et les conclusions des docteurs E.________ et F.________ répondent aux exigences permettant de leur accorder pleine valeur probante ( ATF 125 V 353 consid. 3b/bb et les références; VSI 2001 p. 109 consid. 3b/bb), si bien qu'il n'y a aucune raison de s'en écarter.</w:t>
      </w:r>
    </w:p>
    <w:p>
      <w:r>
        <w:rPr>
          <w:b/>
        </w:rPr>
        <w:t>E. 3.1</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rPr>
          <w:b/>
        </w:rPr>
        <w:t>E. 3.2</w:t>
      </w:r>
    </w:p>
    <w:p>
      <w:r>
        <w:t>Sont déterminants les rapports existant au moment de l'ouverture du droit à une éventuelle rente, ainsi que les modifications éventuelles survenues jusqu'au moment de la décision qui ont des conséquences sur le droit à la rente ( ATF 128 V 174 ; arrêts L. du 18 octobre 2002, I 761/01, et G. du 22 août 2002, I 440/01). En l'espèce, la comparaison des revenus doit être effectuée compte tenu des circonstances de fait telles qu'elles se présentaient en 2001.</w:t>
      </w:r>
    </w:p>
    <w:p>
      <w:r>
        <w:rPr>
          <w:b/>
        </w:rPr>
        <w:t>E. 3.3</w:t>
      </w:r>
    </w:p>
    <w:p>
      <w:r>
        <w:t>Afin d'évaluer le revenu d'invalide, il doit être tenu compte avant tout de la situation professionnelle concrète de l'intéressé. En l'absence d'un revenu effectivement réalisé, il y a lieu de se référer aux données statistiques, telles qu'elles résultent de l'enquête sur la structure des salaires (ESS) publiée par l'Office fédéral de la statistique ( ATF 126 V 76 consid. 3b/aa et bb). On se réfère alors à la statistique des salaires bruts standardisés, en se fondant toujours sur la médiane ou valeur centrale ( ATF 124 V 323 consid. 3b/bb; VSI 1999 p. 182).</w:t>
      </w:r>
    </w:p>
    <w:p>
      <w:r>
        <w:rPr>
          <w:b/>
        </w:rPr>
        <w:t>E. 3.4</w:t>
      </w:r>
    </w:p>
    <w:p>
      <w:r>
        <w:t>Ainsi, le salaire annuel auquel peuvent prétendre les hommes effectuant des activités simples et répétitives dans le secteur privé en 2000 est de 4'437 fr. par mois compte tenu d'un horaire de travail de 40 heures par semaine (ESS 2000 p.31, TA1, niveau de qualification 4). Il doit ensuite être porté à 4'625 fr. (soit 4'437 : 40 x 41,7), soit 55'500 fr. par an, dès lors que la moyenne usuelle de travail dans les entreprises en 2001 était de 41,7 heures (La Vie économique 12/2002 p. 88, tableau B 9.2). Ce salaire hypothétique doit enfin être augmenté de 2,5 % (La Vie économique 12/2002 p. 89, tableau B10.2) pour obtenir le niveau du même salaire en 2001, soit 56'887 fr. La capacité de travail du recourant étant réduite de 50 %, le revenu annuel exigible s'élève à 28'443 fr.</w:t>
      </w:r>
    </w:p>
    <w:p>
      <w:r>
        <w:rPr>
          <w:b/>
        </w:rPr>
        <w:t>E. 3.5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s. consid. 5b/aa-cc; VSI 2002 p. 70 s. consid. 4b). Les premiers juges ont admis un abattement de 10 %, au vu des limitations du recourant. C'est en vain qu'il demande à bénéficier d'une déduction plus importante (15-20 %) sur le salaire statistique, en l'absence de limitations liées à l'âge et à la nationalité ( ATF 126 V 75 ). En effet, il est né le 9 janvier 1956, il bénéficie d'un permis C et d'une expérience professionnelle acquise en Suisse depuis 1979. Compte tenu d'une réduction de 10 %, le revenu annuel d'invalide est de 25'598 fr. (valeur 2001).</w:t>
      </w:r>
    </w:p>
    <w:p>
      <w:r>
        <w:rPr>
          <w:b/>
        </w:rPr>
        <w:t>E. 4</w:t>
      </w:r>
    </w:p>
    <w:p>
      <w:r>
        <w:t>Pour l'évaluation du revenu sans invalidité, la jurisprudence précise que le revenu hypothétique que réaliserait une personne de condition indépendante sans son handicap dépend non seulement de la conjoncture, mais aussi et surtout du travail qu'il fournit, en sa qualité de chef d'entreprise et de ses aptitudes (RCC 1981 p. 41 consid. 2b). Par ailleurs, il faut tenir compte du développement probable que l'exploitation aurait eu si l'assuré n'avait pas souffert de troubles de santé (RCC 1985 p. 663 consid. 3a in fine et les références). En l'espèce, la juridiction cantonale a admis, au vu des principes rappelés ci-dessus, le revenu annuel de 48'000 à 50'000 fr. allégué par le recourant. En effet, vu les montants ressortant de l'exploitation de l'association X.________, ainsi que le développement probable dudit restaurant, il est apparu aux premiers juges que le recourant aurait été en mesure de réaliser un revenu approximativement équivalent à celui qu'il aurait obtenu auprès de son ancien employeur. Partant, le revenu annuel de 50'000 fr. appliqué dans le calcul de l'instance précédente, et non remis en cause par le recourant, est maintenu par la Cour de céans.</w:t>
      </w:r>
    </w:p>
    <w:p>
      <w:r>
        <w:rPr>
          <w:b/>
        </w:rPr>
        <w:t>E. 5</w:t>
      </w:r>
    </w:p>
    <w:p>
      <w:r>
        <w:t>Au regard des revenus ainsi obtenus, le recourant subit une diminution de sa capacité de gain de 48,8 %. Le jugement entrepris n'est dès lors pas critiquable dans son résultat et le recours se révèle mal fondé.</w:t>
      </w:r>
    </w:p>
    <w:p>
      <w:r>
        <w:rPr>
          <w:b/>
        </w:rPr>
        <w:t>E. 6</w:t>
      </w:r>
    </w:p>
    <w:p>
      <w:r>
        <w:t>Vu la nature du litige, la procédure est gratuite ( art. 134 OJ ). Par ailleurs, le recourant, qui succombe, ne peut prétendre une indemnité de dépens ( art. 159 al. 1 OJ en liaison avec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