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215/01 vom 29. August 2001</w:t>
      </w:r>
    </w:p>
    <w:p>
      <w:r>
        <w:t>Bundesgericht, 2001-08-29, IT</w:t>
      </w:r>
    </w:p>
    <w:p>
      <w:r>
        <w:rPr>
          <w:b/>
        </w:rPr>
        <w:t xml:space="preserve">Quelle: </w:t>
      </w:r>
      <w:r>
        <w:t>https://mcp.opencaselaw.ch/entscheid/bger_I_215_01</w:t>
      </w:r>
    </w:p>
    <w:p>
      <w:r>
        <w:t>FR: TF I 215/01 du 29 août 2001</w:t>
      </w:r>
    </w:p>
    <w:p>
      <w:r>
        <w:t>IT: TF I 215/01 del 29 agosto 2001</w:t>
      </w:r>
    </w:p>
    <w:p>
      <w:pPr>
        <w:pStyle w:val="Heading2"/>
      </w:pPr>
      <w:r>
        <w:t>Regeste</w:t>
      </w:r>
    </w:p>
    <w:p>
      <w:r>
        <w:t>Assicurazione per l'invalidità</w:t>
      </w:r>
    </w:p>
    <w:p>
      <w:pPr>
        <w:pStyle w:val="Heading2"/>
      </w:pPr>
      <w:r>
        <w:t>Erwägungen</w:t>
      </w:r>
    </w:p>
    <w:p>
      <w:r>
        <w:rPr>
          <w:b/>
        </w:rPr>
        <w:t>E. 1</w:t>
      </w:r>
    </w:p>
    <w:p>
      <w:r>
        <w:t>a) Nell'impugnato giudizio, al quale si rinvia, la Commissione di ricorso ha già esposto i presupposti del diritto alla rendita dell'assicurazione per l'invalidità svizzera. E' comunque opportuno ribadire per chiarezza che secondo l' art. 4 cpv. 1 LAI , l'invalidità è l'incapacità di guadagno, presunta permanente o di rilevante durata, cagionata da un danno alla salute fisica o psichica conseguente a infermità congenita, malattia o infortunio. Secondo l' art. 28 cpv. 1 LAI , l'assicurato ha diritto a una rendita intera se è invalido almeno al 66 2/3 %, a una mezza rendita se è invalido almeno al 50% o a un quarto di rendita se è invalido almeno al 40% e che, conformemente all' art. 29 cpv. 1 LAI , il diritto alla rendita giusta l' art. 28 LAI nasce il più presto nel momento in cui l'assicurato presenta una incapacità permanente di guadagno pari almeno al 40% (lett. a), oppure in cui è stato, per un anno e senza notevoli interruzioni, incapace al lavoro per almeno il 40% in media (lett. b). Tuttavia, per gli assicurati non domiciliati né dimoranti abitualmente in Svizzera, il diritto alla rendita giusta la lett. b dell' art. 29 cpv. 1 LAI insorge soltanto al momento in cui essi siano stati, per un anno, incapaci al lavoro per almeno il 50% in media e presentino, alla scadenza del periodo di attesa, un'invalidità pari almeno al 50% ( art. 28 cpv. 1ter LAI e DTF 121 V 264 consid. 5 e 6). Ai sensi dell'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In altre parole, l'invalidità, nell'ambito delle assicurazioni sociali svizzere, è un concetto di carattere economico-giuridico e non medico ( DTF 116 V 249 consid. 1b, 110 V 275 consid. 4a), i dati economici essendo determinanti. Tuttavia, qualora essi difettino per l'inattività dell'assicurato, ci si fonderà sui fatti di natura medica, purché permettano di valutare l'incapacità lavorativa dell'interessato nell'attività da lui ragionevolmente esigibile ( DTF 125 V 261 consid. 4, 115 V 134 consid. 2, 114 V 314 consid. 3c, 105 V 158 consid. 1). b) In una recente sentenza pubblicata in DTF 126 V 75 segg. ,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che si riferiscono agli stipendi medi nelle diverse categorie di lavoro ( DTF 126 V 76 consid. 3b/bb; RCC 1991 pag. 332 consid. 3c, 1989 pag. 485 consid. 3b; Omlin, Die Invalidität in der obligatorischen Unfallversicherung, tesi Friborgo 1995, pag. 215).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80 consid. 5b/cc). Tale deduzione non è automatica, ma dovrà essere valutata tenendo conto di tutte le circostanze del singolo caso. Sarà in ogni caso compito dell'amministrazione e, in caso di ricorso, del giudice del merito motivare l'entità della deduzione. Quest'ultimo non potrà scostarsi, dal canto suo, dalla valutazione dell'amministrazione senza fondati motivi ( DTF 126 V 80 , consid. 5 b/dd e 6).</w:t>
      </w:r>
    </w:p>
    <w:p>
      <w:r>
        <w:rPr>
          <w:b/>
        </w:rPr>
        <w:t>E. 2</w:t>
      </w:r>
    </w:p>
    <w:p>
      <w:r>
        <w:t>Controversa è la questione relativa alle ripercussioni del danno alla salute sulla capacità di guadagno di S.________. Non desta invece particolari discussioni la situazione sanitaria. Il consulente medico dell'UAI, concordando in sostanza con la diagnosi resa dall'incaricato dell'Istituto nazionale italiano della previdenza sociale (INPS), dopo attento esame della documentazione agli atti, ha espresso in sede federale una valutazione lievemente diversa da quella espressa dinanzi ai primi giudici, riconoscendo, a decorrere dal 29 aprile 1998 - data della cessazione del lavoro - una incapacità del 70% nella professione di bracciante agricola e, non da ultimo in considerazione delle continue terapie di cui necessita a seguito dei disturbi alla colonna vertebrale, una inabilità del 30% in altre attività sostitutive compatibili con lo stato di salute. Dal canto suo, il medico dell'INPS, in precedenza, aveva attestato genericamente un'invalidità del 75%, senza pronunciarsi sulle residue capacità in attività sostitutive. L'attenta e differenziata valutazione del servizio medico dell'amministrazione può senz'altro essere condivisa. Se la ricorrente quale bracciante agricola è certamente inabile al lavoro in misura superiore ai due terzi, in occupazioni più leggere le affezioni accusate e il grave sovrappeso non le impediscono, per quanto pertinentemente rilevato dai giudici commissionali, di mettere a profitto la sua residua capacità lavorativa in misura del 70% circa. Resta pertanto da esaminare in quale misura questa residua abilità lavorativa si ripercuota concretamente sulla capacità di guadagno.</w:t>
      </w:r>
    </w:p>
    <w:p>
      <w:r>
        <w:rPr>
          <w:b/>
        </w:rPr>
        <w:t>E. 3</w:t>
      </w:r>
    </w:p>
    <w:p>
      <w:r>
        <w:t>a) Correttamente, il servizio dell'UAI preposto alla valutazione dell'invalidità ha operato un raffronto tra i due redditi ipotetici - quello da valida e quello da invalida -, fondandosi sui dati statistici più aggiornati a disposizione, relativi al 1997. In assenza di rilevamenti più recenti, una diversa ricostruzione sarebbe infatti risultata aleatoria e insicura. Né si imponeva necessariamente un adeguamento degli elementi di confronto all'evoluzione dei salari intervenuta nel 1998, non potendo esso comunque incidere sulla proporzione tra i due dati determinanti. b) Per il resto, contrariamente a quanto rimprovera l'interessata, l'amministrazione ha già abbondantemente tenuto conto delle particolarità del caso, non solo considerando l'incapacità lavorativa del 30% attestata dal consulente sanitario nell'ambito di attività lavorative leggere, semplici e ripetitive, che non richiedono sforzi e formazione particolari, ma anche applicando un'ulteriore riduzione del 20% sul dato così ottenuto, facendo ampio uso del margine di riduzione consentito dalla giurisprudenza di questa Corte per adeguare al meglio i dati statistici alla realtà concreta (consid. 1b). A ciò si aggiunge infine che il raffronto effettuato dall'UAI prende in considerazione per la determinazione del reddito da invalida l'elemento statistico più favorevole per l'assicurata, ossia quello più basso entrante in linea di conto tra le varie attività ancora esigibili. c) Per quanto precede, la determinazione dei redditi e la loro comparazione vanno giustamente riviste sulla base della più recente valutazione della capacità lavorativa in attività sostitutiva, che tiene conto di una limitazione del 30% e non più del 20% come invece ritenuto in prima sede. Il salario da valida può così essere stabilito in Lit. 1'988'326.-, mentre quello da invalida fissato in Lit. 934'674.-, atteso come dall'importo di Lit. 1'669'061.-, corrispondente alla retribuzione media conseguibile in Italia nel 1997 da un'operaia attiva nel settore della costruzione delle macchine, debba essere dedotto un primo 30% in considerazione appunto della capacità residua nell'ambito di attività sostitutive leggere, e quindi un ulteriore 20% a dipendenza della particolare situazione dell'assicurata. Dalla contrapposizione di questi dati scaturisce un grado di invalidità di poco superiore al 53%, che giustifica l'assegnazione all'interessata di una mezza rendita a decorrere, in applicazione del principio stabilito all' art. 29 cpv. 1 lett. b LAI , dal 1° aprile 1999.</w:t>
      </w:r>
    </w:p>
    <w:p>
      <w:r>
        <w:rPr>
          <w:b/>
        </w:rPr>
        <w:t>E. 4</w:t>
      </w:r>
    </w:p>
    <w:p>
      <w:r>
        <w:t>Il Tribunale federale delle assicurazioni non può invece condividere la correzione praticata dai primi giudici sul calcolo dell'incapacità di guadagno. Come rilevato pure dalla ricorrente e dall'UAI, la Commissione di ricorso ha operato un raffronto dei redditi basato su dati troppo diversi tra loro, scostandosi dalla realtà dei fatti. Ha così preso in considerazione da un lato quale guadagno da valida il dato concreto salariale risultante dall'ultimo rapporto di lavoro, prima dell'insorgere dell'incapacità lavorativa. Dall'altro, ha ritenuto quale reddito da invalida il rilevamento statistico su scala nazionale relativo al settore interessato, misconoscendo in questo modo le profonde diversità retributive esistenti in Italia, in particolare tra il Meridione e il Settentrione. Alla luce di quanto esposto, il sistema scelto dal servizio per la valutazione dell'invalidità dell'UAI si appalesa il più equilibrato e sicuro, poiché contrappone - con l'adeguamento del reddito da valida alla media dei salari nazionali nel settore specifico - dati omogenei, che meglio si prestano a un loro raffronto.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