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203/03 vom 21. Juli 2003</w:t>
      </w:r>
    </w:p>
    <w:p>
      <w:r>
        <w:t>Bundesgericht, 2003-07-21, FR</w:t>
      </w:r>
    </w:p>
    <w:p>
      <w:r>
        <w:rPr>
          <w:b/>
        </w:rPr>
        <w:t xml:space="preserve">Quelle: </w:t>
      </w:r>
      <w:r>
        <w:t>https://mcp.opencaselaw.ch/entscheid/bger_I_203_03</w:t>
      </w:r>
    </w:p>
    <w:p>
      <w:r>
        <w:t>FR: TF I 203/03 du 21 juillet 2003</w:t>
      </w:r>
    </w:p>
    <w:p>
      <w:r>
        <w:t>IT: TF I 203/03 del 21 luglio 2003</w:t>
      </w:r>
    </w:p>
    <w:p>
      <w:pPr>
        <w:pStyle w:val="Heading2"/>
      </w:pPr>
      <w:r>
        <w:t>Regeste</w:t>
      </w:r>
    </w:p>
    <w:p>
      <w:r>
        <w:t>Assurance-invalidité</w:t>
      </w:r>
    </w:p>
    <w:p>
      <w:pPr>
        <w:pStyle w:val="Heading2"/>
      </w:pPr>
      <w:r>
        <w:t>Erwägungen</w:t>
      </w:r>
    </w:p>
    <w:p>
      <w:r>
        <w:rPr>
          <w:b/>
        </w:rPr>
        <w:t>E. 1.1</w:t>
      </w:r>
    </w:p>
    <w:p>
      <w:r>
        <w:t>Le litige porte sur le droit éventuel du recourant à une rente de l'assurance-invalidité, singulièrement sur le taux d'invalidité.</w:t>
      </w:r>
    </w:p>
    <w:p>
      <w:r>
        <w:rPr>
          <w:b/>
        </w:rPr>
        <w:t>E. 1.2</w:t>
      </w:r>
    </w:p>
    <w:p>
      <w:r>
        <w:t>La loi fédérale sur la partie générale du droit des assurances sociales (LPGA) du 6 octobre 2000, entrée en vigueur le 1er janvier 2003, n'est pas applicable en l'espèce, dès lors que le juge des assurances sociales n'a pas à prendre en considération les modifications du droit ou de l'état de fait postérieures à la date déterminante de la décision litigieuse, à savoir le 18 mars 2002 ( ATF 127 V 467 consid. 1, 121 V 366 consid. 1b).</w:t>
      </w:r>
    </w:p>
    <w:p>
      <w:r>
        <w:rPr>
          <w:b/>
        </w:rPr>
        <w:t>E. 2.1</w:t>
      </w:r>
    </w:p>
    <w:p>
      <w:r>
        <w:t>Selon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w:t>
      </w:r>
    </w:p>
    <w:p>
      <w:r>
        <w:rPr>
          <w:b/>
        </w:rPr>
        <w:t>E. 2.2</w:t>
      </w:r>
    </w:p>
    <w:p>
      <w:r>
        <w:t>D'après l' art. 4 al. 1 LAI , l'invalidité est la diminution de la capacité de gain, présumée permanente ou de longue durée, qui résulte d'une atteinte à la santé physique ou mentale provenant d'une infirmité congénitale, d'une maladie ou d'un accident.</w:t>
      </w:r>
    </w:p>
    <w:p>
      <w:r>
        <w:rPr>
          <w:b/>
        </w:rPr>
        <w:t>E. 2.3</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rPr>
          <w:b/>
        </w:rPr>
        <w:t>E. 3.1</w:t>
      </w:r>
    </w:p>
    <w:p>
      <w:r>
        <w:t>Selon les premiers juges, D.________ n'est plus en mesure de travailler en tant que forestier-bûcheron, au vu de l'ensemble des avis médicaux versés au dossier. En effet, tous les médecins consultés sont parvenus au même diagnostic, à savoir des lombalgies récidivantes. Le docteur E.________ a en outre associé les troubles lombaires douloureux à des problèmes psychologiques et à une affection médicale générale chronique de degré léger (personnalité immature à traits dépendants et antisociaux, abus et/ou dépendance à l'alcool probable, carences affectives précoces, difficultés socio-économiques). En revanche, la juridiction cantonale est d'avis que les affections précitées n'empêchent pas le recourant de reprendre une activité à plein temps avec un rendement diminué de 30 % dans une profession adaptée. Elle s'est fondée notamment sur l'avis du docteur A.________ (rapports du 27 juillet 2000 et du 26 juin 2001), ainsi que sur l'avis du docteur E.________ (expertise du 17 décembre 2001).</w:t>
      </w:r>
    </w:p>
    <w:p>
      <w:r>
        <w:rPr>
          <w:b/>
        </w:rPr>
        <w:t>E. 3.2</w:t>
      </w:r>
    </w:p>
    <w:p>
      <w:r>
        <w:t>Pour mettre en doute le caractère probant de l'expertise E.________, le recourant objecte que seul ce médecin se prononce sur la capacité de travail dans une activité adaptée (70 %), alors qu'il se fonde sur les affections psychiatriques et non sur celles d'ordre rhumatologiques. L'intéressé y voit une contradiction avec les rapports du docteur A.________ se prononçant, selon lui, uniquement sur la capacité résiduelle dans l'ancienne profession (0 %) et avec le certificat médical du 13 juillet 2001 attestant une incapacité de travail momentanée de 100 %. Or, dans son rapport du 26 juin 2001, le docteur A.________ se prononce également sur la capacité de travail du recourant dans une activité adaptée. En effet, il l'estime à 100 % pour toute activité dans laquelle un changement de position est régulièrement possible et le port de charges trop lourdes évitable (pt. 2.2 et suivants). Le certificat du 13 juillet 2001, quant à lui, n'a pas valeur de conclusion d'examen médical; il atteste uniquement une récidive temporaire des lombalgies provoquées par une activité non adaptée aux prescriptions des médecins (formation auprès de X.________ SA). Dès lors, la diminution de rendement de maximum 30 % estimée par le docteur E.________ ressort d'examens complets et pleinement convaincants, en connaissance de l'ensemble du dossier (examens physiques et psychiatriques). Avec les premiers juges, la Cour de céans n'a aucune raison de s'écarter des conclusions de ce praticien, dont l'expertise répond aux exigences permettant de lui reconnaître pleine force probante ( ATF 125 V 353 consid. 3b/bb et les références; VSI 2001 p. 109 consid. 3b/bb), et que ne vient contredire aucune autre pièce médicale. L'autorité précédente a retenu, à juste titre, que le recourant présente une capacité entière de travail dans une activité adaptée (toute tâche permettant le changement fréquent de position et évitant le port de charges lourdes) avec un rendement de 70 % au minimum.</w:t>
      </w:r>
    </w:p>
    <w:p>
      <w:r>
        <w:rPr>
          <w:b/>
        </w:rPr>
        <w:t>E. 4.1</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rPr>
          <w:b/>
        </w:rPr>
        <w:t>E. 4.2</w:t>
      </w:r>
    </w:p>
    <w:p>
      <w:r>
        <w:t>Sont déterminants les rapports existants au moment de l'ouverture du droit à une éventuelle rente, ainsi que les modifications éventuelles survenues jusqu'au moment de la décision qui ont des conséquences sur le droit à la rente ( ATF 128 V 174 ; arrêts L. du 18 octobre 2002, I 761/01, et G. du 22 août 2002, I 440/01). En l'espèce, la comparaison des revenus doit être effectuée compte tenu des circonstances de fait telles qu'elles se présentaient en 2001.</w:t>
      </w:r>
    </w:p>
    <w:p>
      <w:r>
        <w:rPr>
          <w:b/>
        </w:rPr>
        <w:t>E. 4.3</w:t>
      </w:r>
    </w:p>
    <w:p>
      <w:r>
        <w:t>Afin d'évaluer le revenu d'invalide, il doit être tenu compte avant tout de la situation professionnelle concrète de l'intéressé. En l'absence d'un revenu effectivement réalisé, il y a lieu de se référer aux données statistiques, telles qu'elles résultent de l'enquête sur la structure des salaires (ESS) publiée par l'Office fédéral de la statistique ( ATF 126 V 76 consid. 3b/aa et bb). On tient compte alors de la statistique des salaires bruts standardisés, en se fondant toujours sur la médiane ou valeur centrale ( ATF 124 V 323 consid. 3b/bb; VSI 1999 p. 182).</w:t>
      </w:r>
    </w:p>
    <w:p>
      <w:r>
        <w:rPr>
          <w:b/>
        </w:rPr>
        <w:t>E. 4.4</w:t>
      </w:r>
    </w:p>
    <w:p>
      <w:r>
        <w:t>Ainsi, le salaire annuel auquel peuvent prétendre les hommes effectuant des activités simples et répétitives dans le secteur privé en 2000 est de 4'437 fr. par mois compte tenu d'un horaire de travail de 40 heures par semaine (ESS 2000 p.31, TA1, niveau de qualification 4). Il doit ensuite être porté à 4'625 fr. (soit 4'437 : 40 x 41,7), soit 55'500 fr. par an, dès lors que la moyenne usuelle de travail dans les entreprises en 2001 était de 41,7 heures (La Vie économique 12/2002 p. 88, tableau B 9.2). Ce salaire hypothétique doit enfin être augmenté de 2,5 % (La Vie économique 12/2002 p. 89, tableau B10.2) pour obtenir le niveau du même salaire en 2001, soit 56'887 fr. La capacité de travail du recourant étant réduite de 30 %, le revenu annuel exigible s'élève à 39'820 fr.</w:t>
      </w:r>
    </w:p>
    <w:p>
      <w:r>
        <w:rPr>
          <w:b/>
        </w:rPr>
        <w:t>E. 4.5</w:t>
      </w:r>
    </w:p>
    <w:p>
      <w:r>
        <w:t>Quant au revenu sans invalidité, le recourant a réalisé en 1999, selon l'attestation de son ancien employeur, un gain correspondant à 54'212 fr. Ce montant doit être adapté à l'évolution des salaires en 2000 et 2001 (La Vie économique 12/2002 p. 89, tableau B10.2). En tenant compte d'une augmentation de 0,3 % en 2000 et 1,3 % en 2001, le revenu sans invalidité à prendre en compte est donc de 55'080 fr. Le taux d'invalidité ressortant de la comparaison de ces deux revenus est de 27,70 % ([55'080 - 39'820] x 100 : 55'080), taux qui ne donne aucun droit à une rente de l'assurance-invalidité. Le jugement entrepris n'est dès lors pas critiquable et le recours se révèle mal fondé.</w:t>
      </w:r>
    </w:p>
    <w:p>
      <w:r>
        <w:rPr>
          <w:b/>
        </w:rPr>
        <w:t>E. 5</w:t>
      </w:r>
    </w:p>
    <w:p>
      <w:r>
        <w:t>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 En l'espèce, bien que le recourant n'obtienne pas gain de cause, son recours n'apparaissait pas de prime abord voué à l'échec. Vu ses moyens économiques limités, l'assistance judiciaire lui est octroyée pour l'instance fédérale. L'attention du recourant est cependant attirée sur le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