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19/02 vom 26. Juli 2002</w:t>
      </w:r>
    </w:p>
    <w:p>
      <w:r>
        <w:t>Bundesgericht, 2002-07-26, FR</w:t>
      </w:r>
    </w:p>
    <w:p>
      <w:r>
        <w:rPr>
          <w:b/>
        </w:rPr>
        <w:t xml:space="preserve">Quelle: </w:t>
      </w:r>
      <w:r>
        <w:t>https://mcp.opencaselaw.ch/entscheid/bger_I_19_02</w:t>
      </w:r>
    </w:p>
    <w:p>
      <w:r>
        <w:t>FR: TF I 19/02 du 26 juillet 2002</w:t>
      </w:r>
    </w:p>
    <w:p>
      <w:r>
        <w:t>IT: TF I 19/02 del 26 luglio 2002</w:t>
      </w:r>
    </w:p>
    <w:p>
      <w:pPr>
        <w:pStyle w:val="Heading2"/>
      </w:pPr>
      <w:r>
        <w:t>Regeste</w:t>
      </w:r>
    </w:p>
    <w:p>
      <w:r>
        <w:t>Assurance-invalidité</w:t>
      </w:r>
    </w:p>
    <w:p>
      <w:pPr>
        <w:pStyle w:val="Heading2"/>
      </w:pPr>
      <w:r>
        <w:t>Erwägungen</w:t>
      </w:r>
    </w:p>
    <w:p>
      <w:r>
        <w:rPr>
          <w:b/>
        </w:rPr>
        <w:t>E. 1</w:t>
      </w:r>
    </w:p>
    <w:p>
      <w:r>
        <w:t>Comme en instance cantonale, le recourant reprend dans un premier moyen le grief de prévention à l'égard des docteurs P.________ et F.________ qui ont établi le rapport d'expertise du 14 avril 2000 sur lequel l'office intimé s'est fondé pour rendre sa décision du 9 août 2000. Il soutient que l'indépendance des experts fait objectivement défaut en raison de leur relation avec la CNA, laquelle est indubitablement intéressée à l'issue du litige.</w:t>
      </w:r>
    </w:p>
    <w:p>
      <w:r>
        <w:rPr>
          <w:b/>
        </w:rPr>
        <w:t>E. 2</w:t>
      </w:r>
    </w:p>
    <w:p>
      <w:r>
        <w:t>a) D'après la jurisprudence rendue en matière de récusation d'un juge, - développée à propos de l' art. 58 aCst. , mais qui reste pleinement valable sous l'empire de l' art. 30 Cst. (consid. 1a non publié de l'arrêt ATF 126 V 303 , SVR 2001 BVG 7 p. 28) -, le motif de récusation doit être invoqué dès que possible, soit en principe dès le début des débats, mais au plus tard dès que le plaideur a connaissance de l'identité des membres composant l'autorité, à défaut de quoi il est réputé avoir tacitement renoncé à s'en prévaloir ( ATF 119 Ia 228 sv. et les arrêts cités; Egli/Kurz, La garantie du juge indépendant et impartial dans la jurisprudence récente, Recueil de jurisprudence neuchâteloise [RJN] 1990 p. 28 sv.). En particulier, il est contraire à la bonne foi d'attendre l'issue d'une procédure pour tirer ensuite argument, à l'occasion d'un recours, du motif de récusation, alors que celui-ci était déjà connu auparavant. Ces principes sont applicables par analogie à la récusation d'experts judiciaires ( ATF 120 V 364 consid. 3a), ainsi qu'aux cas d'expertises ordonnées par l'administration (cf. VSI 2001 p. 111 consid. 4a/aa; voir aussi Meyer-Blaser, Rechtliche Vorgaben an die medizinische Begutachtung, in : Schaffhauser/Schlauri, Rechtsfragen der medizinischen Begutachtung in der Sozialversicherung, St-Gall 1997, p. 45 sv.). b) Les docteurs P.________ et F.________ exercent tous deux leur activité à la Clinique romande de réhabilitation à S.________; le premier, comme rhumatologue, le second, comme psychiatre. Par lettre du 29 février 2000 et avis du même jour au mandataire de l'assuré, le docteur P.________ a été chargé de procéder à une expertise pour laquelle il a considéré comme nécessaire de faire appel à un psychiatre, procédé qui n'est, à juste titre, pas contesté en l'espèce. Dès lors que la Clinique romande de réhabilitation à S.________ dépend notoirement de la CNA - ce qui ressort par exemple de la signalisation posée à l'entrée et dans le bâtiment de la clinique où l'assuré s'est rendu pour l'expertise -, on peut se demander si le moyen soulevé pour la première fois en procédure cantonale ne l'a pas déjà été tardivement (cf. dans ce sens l'arrêt non publié L. du 23 mai 2002, I 724/01). Cette question peut toutefois demeurer ouverte dès lors que pour les motifs qui suivent le grief doit être écarté.</w:t>
      </w:r>
    </w:p>
    <w:p>
      <w:r>
        <w:rPr>
          <w:b/>
        </w:rPr>
        <w:t>E. 3</w:t>
      </w:r>
    </w:p>
    <w:p>
      <w:r>
        <w:t>a)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 ATF 125 V 353 sv. consid. 3b/ee, 123 V 176 consid. 3d et l'arrêt cité; VSI 2001 p. 109 sv. consid. 3b/ee; RAMA 1999 n° U 332 p. 193 consid. 2a/bb et les références). Selon la jurisprudence, le fait que le médecin consulté soit lié à l'assureur par des relations de service ne permet pas pour ce seul motif de conclure à un manque d'objectivité ou d'impartialité de sa part. Il faut qu'il existe des circonstances particulières qui justifient objectivement la méfiance de l'assuré pour ce qui est de l'impartialité de l'appréciation. Le Tribunal fédéral des assurances a ainsi jugé que l'indépendance et l'impartialité des médecins du COMAI était garantie déjà avant l'entrée en vigueur de leur nouveau statut du 1er juin 1994 ( ATF 123 V 175 ; cf. également RAMA 1999 n° U 332 p. 193). De même, il a statué qu'en matière d'assurance-accidents, l'administration et le juge des assurances sociales pouvaient, sous certaines réserves, se prononcer sur la base d'expertises réalisées par des médecins liés à l'institution d'assurance ( ATF 122 V 157 ). La CEDH a d'ailleurs rejeté le recours déposé par l'assuré contre le jugement précité (arrêt Bicer contre la Suisse du 22 juin 1999 in JAAC 2000 138 1341). Selon la jurisprudence de la CEDH, le fait que les experts mandatés par un tribunal soient subordonnés à l'une des parties n'est en principe pas incompatible avec l' art. 6 par. 1 CEDH qui garantit le droit à un procès équitable (JAAC 1998 95 917). b) Du moment que l'impartialité objective des médecins liés par des relations de service à l'assurance-accidents vis-à-vis de celle-ci n'est pas mise en doute, comme d'ailleurs, bien que dans un cadre relationnel différent, celle des médecins du COMAI à l'égard de l'AI, on ne voit pas que l'impartialité objective pourrait être déniée aux médecins travaillant à la Clinique de réhabilitation (liée à l'assurance-accidents) lorsqu'ils donnent leur avis d'experts à la demande de l'assurance-invalidité. En outre, il n'existe à ce jour pas de litige entre le recourant et la CNA, laquelle n'est pas partie à la présente procédure. On ne voit pas ce qui aurait pu amener les experts à faire preuve, subjectivement, de partialité dans le cadre d'un litige qui oppose le recourant à l'OAI. A tout le moins, il convient de constater que la preuve du contraire permettant de renverser la présomption d'impartialité dont bénéficie l'expert n'a pas été rapportée (cf. Auer/Malinverni/Hottelier, Droit constitutionnel suisse, Berne 2000, no 1205).</w:t>
      </w:r>
    </w:p>
    <w:p>
      <w:r>
        <w:rPr>
          <w:b/>
        </w:rPr>
        <w:t>E. 4</w:t>
      </w:r>
    </w:p>
    <w:p>
      <w:r>
        <w:t>Dans un second moyen, le recourant fait valoir que le jugement entrepris est insuffisamment motivé. a) La jurisprudence a notamment déduit du droit d'être entendu, découlant de l' art. 4 aCst. (actuellement art. 29 al. 2 Cst. ), l'obligation pour l'autorité de motiver sa décision, afin que l'intéressé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Si le juge des assurances sociales doit motiver ses décisions, il n'a toutefois pas l'obligation d'exposer et de discuter tous les faits, moyens de preuve et griefs soulevés par les parties. Il peut au contraire se limiter à ceux qui, sans arbitraire, peuvent être tenus pour pertinents. Dans le cas où l'autorité ne satisfait pas à son devoir minimum d'examiner et traiter les problèmes pertinents, il y aura lieu de constater la violation du droit d'être entendu ( ATF 124 V 181 consid. 1a; 124 II 149 consid. 2a et les arrêts cités). b) En l'espèce, il est indéniable que le jugement attaqué satisfait aux exigences exposées ci-dessus. Même si sa motivation est relativement concise, les juges cantonaux ont exposé pourquoi ils ont donné la préférence aux conclusions de l'expertise P.________ sur les autres avis médicaux figurant au dossier, ainsi que les raisons pour lesquelles ils ont estimé que le taux d'invalidité était de 60 % sans qu'il soit nécessaire de procéder pour cela à une comparaison des revenus. Leur prononcé contient ainsi tous les éléments permettant à l'intéressé d'en comprendre les motifs et de l'attaquer devant l'autorité de recours.</w:t>
      </w:r>
    </w:p>
    <w:p>
      <w:r>
        <w:rPr>
          <w:b/>
        </w:rPr>
        <w:t>E. 5</w:t>
      </w:r>
    </w:p>
    <w:p>
      <w:r>
        <w:t>Sur le fond, les premiers juges ont correctement rappelé dans leurs jugements successifs les principes applicables en matière d'évaluation de l'invalidité, de révision ( art. 41 LAI ) et d'appréciation des rapports médicaux. On peut pour l'essentiel y renvoyer. a) Dans un arrêt du 14 juin 1999 ( ATF 125 V 351 ), le Tribunal fédéral des assurances a précisé sa jurisprudence relative à l'appréciation des preuves notamment dans le domaine médical. Il convient de rappeler ici que selon le principe de la libre appréciation des preuves, qui s'applique aussi bien en procédure administrative qu'en procédure de recours de droit administratif ( art. 40 PCF en corrélation avec l' art. 19 PA ; art. 95 al. 2 OJ en liaison avec les art. 113 et 132 OJ ),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b) L'élément déterminant pour la valeur probante d'un certificat médical n'est ni son origine ni sa désignation sous la forme d'un rapport ou d'une expertise, mais bel et bien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c) Sans remettre en cause le principe de la libre appréciation des preuves, la jurisprudence a posé des lignes directrices en ce qui concerne la manière d'apprécier certains types d'expertises ou de rapports médicaux. aa)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Peut constituer une raison de s'écarter de l'expertise judiciaire le fait que celle-ci contient des contradictions, ou qu'une surexpertise ordonnée par le tribunal en infirme les conclusions de manière convaincante. En outre, lors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bb)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cc) En outre,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dd) Toutefois, le simple fait qu'un certificat médical est établi à la demande d'une partie et produit pendant la procédure ne justifie pas, en soi, des doutes quant à sa valeur probante. Une expertise présentée par une partie peut donc également valoir comme moyen de preuve. En vertu des principes énoncés par la jurisprudence concernant l'appréciation des preuves, le juge est toutefois tenu d'examiner si elle est propre à mettre en doute, sur les points litigieux importants, l'opinion et les conclusions de l'expert mandaté par le tribunal. Cette jurisprudence s'applique aussi bien lorsqu'un assuré entend remettre en cause, au moyen d'une expertise privée, les conclusions d'une expertise aménagée par l'assureur-accidents ou par un office AI.</w:t>
      </w:r>
    </w:p>
    <w:p>
      <w:r>
        <w:rPr>
          <w:b/>
        </w:rPr>
        <w:t>E. 6</w:t>
      </w:r>
    </w:p>
    <w:p>
      <w:r>
        <w:t>En l'occurrence, les diagnostics posés par les différents médecins qui ont examiné B.________ ne diffèrent pas sensiblement. En substance, le recourant est atteint d'omarthrose droite sur un status après acromioplastie associée à une suture de coiffe, de conflit sous-acromial de l'épaule gauche, de cervicalgies sur uncodiscarthrose étagée de C2 à C5, de lombalgies communes et de gonarthrose bilatérale incipiens. En revanche, ces mêmes médecins divergent dans leur appréciation des conséquences de ces atteintes à la santé sur la capacité de travail du recourant. Alors que les docteurs L.________ et P.________, experts commis par l'OAI, retiennent une incapacité de travail de 60 % dans la profession exercée jusqu'alors et attestent ainsi une absence de modification de la situation de l'assuré par rapport à celle qui prévalait en juin 1996, les docteurs R.________, médecin traitant, et M.________, chirurgien orthopédiste, considèrent que l'incapacité de travail de l'assuré dans sa profession est totale. Quant au docteur D.________, spécialiste FMH en chirurgie orthopédique et médecin traitant, il est d'avis qu'une capacité de travail dans une activité sédentaire - dont il ne fixe toutefois pas le pourcentage - subsiste, tout en signalant que le taux d'incapacité de travail de 60 % arrêté par l'AI et la CNA lui paraît justifié (rapport du 25 mai 2000). Pour trancher entre ces avis divergents, il convient d'abord de considérer que l'expertise du docteur P.________ a été rendue au terme d'une étude fouillée et en pleine connaissance du dossier, et qu'elle se fonde sur de nombreux examens cliniques; elle remplit ainsi toutes les conditions pour lui reconnaître pleine valeur probante. Il ressort de cette expertise que l'état de santé du recourant n'a pas subi de changements significatifs depuis 4 ans, et que le taux d'incapacité de travail de ce dernier - estimé, selon l'expert, de manière généreuse déjà à l'époque de la décision initiale - est demeuré inchangé. On précisera encore que le premier expert commis par l'OAI, à savoir le docteur L.________, est parvenu au même résultat. Or, au regard des règles jurisprudentielles exposées plus haut, l'opinion du docteur M.________ n'est pas propre à mettre en doute les conclusions l'expert. De constatations médicales pour l'essentiel superposables à celles contenues dans l'expertise du 14 avril 2000, ce médecin tire en effet simplement d'autres conclusions au sujet de la capacité de travail de l'assuré. Par ailleurs, le docteur M.________ s'est fondé sur la thèse - apparemment erronée si l'on se réfère aux indications fournies par l'assuré à l'expert P.________ - qu'il incombait audit assuré, en sa qualité de contremaître, d'effectuer des travaux de force ou lourds. Enfin, on ne saurait rien déduire du licenciement du recourant (lié à une restructuration de l'entreprise). Celui-ci a occupé une place de travail à un taux d'activité correspondant à sa capacité de travail résiduelle et percevait un salaire en rapport avec ses prestations. Pour ces mêmes motifs, l'opinion divergente du docteur R.________, médecin traitant, qui renvoie en réalité à l'avis du docteur M.________, n'est pas non plus de nature à remettre en cause les conclusions de l'expert P.________. Dans ces conditions, c'est à bon droit que les premiers juges ont, en l'espèce, nié que les conditions d'une révision étaient réalisées. Le recours se révèle ainsi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