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171/01 vom 18. Februar 2002</w:t>
      </w:r>
    </w:p>
    <w:p>
      <w:r>
        <w:t>Bundesgericht, 2002-02-18, FR</w:t>
      </w:r>
    </w:p>
    <w:p>
      <w:r>
        <w:rPr>
          <w:b/>
        </w:rPr>
        <w:t xml:space="preserve">Quelle: </w:t>
      </w:r>
      <w:r>
        <w:t>https://mcp.opencaselaw.ch/entscheid/bger_I_171_01</w:t>
      </w:r>
    </w:p>
    <w:p>
      <w:r>
        <w:t>FR: TF I 171/01 du 18 février 2002</w:t>
      </w:r>
    </w:p>
    <w:p>
      <w:r>
        <w:t>IT: TF I 171/01 del 18 febbraio 2002</w:t>
      </w:r>
    </w:p>
    <w:p>
      <w:pPr>
        <w:pStyle w:val="Heading2"/>
      </w:pPr>
      <w:r>
        <w:t>Regeste</w:t>
      </w:r>
    </w:p>
    <w:p>
      <w:r>
        <w:t>Assurance-invalidité</w:t>
      </w:r>
    </w:p>
    <w:p>
      <w:pPr>
        <w:pStyle w:val="Heading2"/>
      </w:pPr>
      <w:r>
        <w:t>Erwägungen</w:t>
      </w:r>
    </w:p>
    <w:p>
      <w:r>
        <w:rPr>
          <w:b/>
        </w:rPr>
        <w:t>E. 1</w:t>
      </w:r>
    </w:p>
    <w:p>
      <w:r>
        <w:t>a) Selon l' art. 4 al. 1 LAI , l'invalidité est la diminution de la capacité de gain, présumée permanente ou de longue durée, qui résulte d'une atteinte à la santé physique ou mentale provenant d'une infirmité congénitale, d'une maladie ou d'un accident. b) Il résulte du texte même de cette disposition légale et de la systématique de la loi que l'assurance-invalidité est une assurance de perte de gain conçue de manière finale ( ATF 126 V 462 consid. 2). c) La cause de l'atteinte à la santé n'est pas décisive (VSI 1999 p. 82 consid. 2a). Dès lors, le fait allégué par le recourant d'avoir été victime d'un accident alors qu'il exerçait son activité d'aide de cuisine au service de l'Hôtel B.________ n'est pas déterminant.</w:t>
      </w:r>
    </w:p>
    <w:p>
      <w:r>
        <w:rPr>
          <w:b/>
        </w:rPr>
        <w:t>E. 2</w:t>
      </w:r>
    </w:p>
    <w:p>
      <w:r>
        <w:t>Invoquant une aggravation de son état de santé, le recourant déclare qu'il a consulté un neurochirurgien et que celui-ci ne lui a pas conseillé de se faire opérer, vu les risques de l'intervention. Ce point peut demeurer indécis. Il convient, en effet, d'apprécier la légalité de la décision litigieuse du 28 mars 2000 d'après l'état de fait existant au moment où cette décision a été rendue ( ATF 121 V 366 consid. 1b et les arrêts cités).</w:t>
      </w:r>
    </w:p>
    <w:p>
      <w:r>
        <w:rPr>
          <w:b/>
        </w:rPr>
        <w:t>E. 3</w:t>
      </w:r>
    </w:p>
    <w:p>
      <w:r>
        <w:t>a) Les premiers juges, en accord avec le service médical de l'intimé, ont retenu que sur la base des résultats objectifs des examens effectués au Portugal, le recourant est encore en mesure d'exercer une activité lucrative légère, adaptée à sa pathologie, à raison d'au moins 80 %. Le recourant conteste ce qui précède. Il fait valoir que le docteur C.________, dans son certificat médical du 6 octobre 1997, a attesté une incapacité de travail de 50 % dès le 25 août 1997, d'une durée indéterminée. b)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352 consid. 3a et les références). Ces principes, développés à propos de l'assurance-accidents, sont applicables à l'instruction des faits d'ordre médical dans toutes les branches d'assurance sociale (Spira, La preuve en droit des assurances sociales, in Mélanges en l'honneur de Henri-Robert Schüpbach, Bâle 2000, p. 268). c) L'avis du docteur C.________ va dans le même sens que le médecin de la sécurité sociale portugaise, dont le rapport du 14 mai 1999 nie que le recourant présente une incapacité de travail supérieure à 50 %. L'avis de ces médecins ne porte, toutefois, que sur la capacité de travail du recourant dans l'activité d'aide de cuisine et non sur la capacité de travail dans une activité de substitution adaptée à son handicap. De son côté, la doctoresse F.________ se pronononce sur la capacité de travail du recourant dans une telle activité; elle se fonde, notamment, sur le rapport du docteur D.________, du 13 mai 1999, concluant à une incapacité de travail de 20 % imputable à l'atteinte radiculaire. Elle retient qu'une activité de substitution adaptée au handicap de l'intéressé - par exemple une activité légère dans le secteur industriel, ou celle de gardien d'immeuble, concierge, surveillant, vendeur dans un kiosque ou dans un commerce de détail, caissier ou magasinier - est en tout cas possible à 80 % depuis le 22 mai 1998, date du rapport de la doctoresse G.________, neuroradiologue à l'Hôpital U.________. Avec les premiers juges, la Cour de céans n'a aucune raison de s'écarter de l'appréciation de la doctoresse F.________. Les déclarations du docteur E.________, médecin traitant du recourant, ont une moindre valeur probante en raison du rapport de confiance qui lie celui-ci à son patient ( ATF 125 V 353 consid. 3b/cc; VSI 2001 p. 109 consid. 3b/cc; comp. ATF 124 I 175 consid. 4).</w:t>
      </w:r>
    </w:p>
    <w:p>
      <w:r>
        <w:rPr>
          <w:b/>
        </w:rPr>
        <w:t>E. 4</w:t>
      </w:r>
    </w:p>
    <w:p>
      <w:r>
        <w:t>Il reste à évaluer l'invalidité que présentait le recourant au moment - déterminant en l'occurrence ( ATF 121 V 366 consid. 1b et les arrêts cités) - où la décision administrative litigieuse a été rendue, soit le 28 mars 2000. a) Selon l' art. 28 al. 2 LAI ,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104 V 136 consid. 2a et 2b; cf. aussi ATF 114 V 313 consid. 3a). b) En ce qui concerne le revenu que le recourant, sans invalidité, aurait pu réaliser en l'an 2000 s'il avait exercé l'activité d'aide de cuisine, il est établi que le salaire mensuel net moyen pour 1997 était de 2650 fr. (questionnaire pour l'employeur, du 24 novembre 1998), représentant un salaire brut de 3118 fr. par mois, 13ème salaire compris. L'évolution des salaires dans l'hôtellerie et la restauration fut de 0.7 % en 1998, de 0.4 % en 1999 et de 1.0 % en 2000 (La Vie économique, 9-2001 p. 85, tabelle B 10.2). Cela donne un revenu brut d'aide de cuisine de 3184 fr. en l'an 2000. c) En ce qui concerne le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 ATF 126 V 76 sv consid. 3b/aa et bb). On se réfère alors à la statistique des salaires bruts standardisés, en se fondant toujours sur la médiane ou valeur centrale ( ATF 124 V 323 consid. 3b/bb; VSI 1999 p. 182). En l'occurrence, compte tenu de l'activité légère de substitution que pourrait exercer le recourant, le salaire de référence est celui auquel peuvent prétendre les hommes effectuant des activités simples et répétitives dans le secteur privé, à savoir 4268 fr. par mois, part au 13ème salaire comprise (La Vie économique, 9-2001 p. 85, tabelle B 10.1; niveau de qualification 4). Ce salaire mensuel hypothétique représente, compte tenu du fait que les salaires bruts standardisés se basent sur un horaire de travail de quarante heures, soit une durée hebdomadaire inférieure à la moyenne usuelle dans les entreprises en 1999 et en 2000 (41, 8 heures; La Vie économique, 9-2001 p. 84, tabelle B 9.2) un revenu d'invalide de 4460 fr. par mois (4268 x41, 8 : 40). Adapté à l'évolution des salaires (La Vie économique, 9-2001 p. 85, tabelle B 10.2) des années 1999 (0.3 %) et 2000 (1.3 %), il s'élève à 4532 fr. par mois. Attendu qu'il est raisonnablement exigible du recourant qu'il exerce à 80 % une activité légère de substitution, le salaire mensuel hypothétique est dès lors de 3626 fr. Même si, compte tenu de l'ensemble des circonstances personnelles et professionnelles du cas particulier, l'on procède à un abattement de 25 % ( ATF 126 V 79 sv consid. 5b/aa-cc), il en résulte encore un revenu d'invalide de 2720 fr. par mois. d) La comparaison avec un revenu réalisable sans atteinte à la santé de 3184 fr. (cf. supra consid. 4b) donne une invalidité de 15 % ([3184 - 2720] x100 : 3184) au moment déterminant. La décision attaquée n'est donc pas critiquable ( art. 28 al. 1 LAI ) et le recours est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