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 135/99 vom 3. Mai 2000</w:t>
      </w:r>
    </w:p>
    <w:p>
      <w:r>
        <w:t>Bundesgericht, 2000-05-03, DE</w:t>
      </w:r>
    </w:p>
    <w:p>
      <w:r>
        <w:rPr>
          <w:b/>
        </w:rPr>
        <w:t xml:space="preserve">Quelle: </w:t>
      </w:r>
      <w:r>
        <w:t>https://mcp.opencaselaw.ch/entscheid/bger_I_135_99</w:t>
      </w:r>
    </w:p>
    <w:p>
      <w:r>
        <w:t>FR: TF I 135/99 du 3 mai 2000</w:t>
      </w:r>
    </w:p>
    <w:p>
      <w:r>
        <w:t>IT: TF I 135/99 del 3 maggio 2000</w:t>
      </w:r>
    </w:p>
    <w:p>
      <w:pPr>
        <w:pStyle w:val="Heading2"/>
      </w:pPr>
      <w:r>
        <w:t>Regeste</w:t>
      </w:r>
    </w:p>
    <w:p>
      <w:r>
        <w:t>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der Verfügung der IV-Stelle vom 26. Juni 1996, auf welche das kantonale Gericht verweist, sowie im ange- fochtenen Entscheid werden die vorliegend massgeblichen gesetzlichen Bestimmungen über den Begriff der Invalidität ( Art. 4 Abs. 1 IVG ), die Voraussetzungen und den Umfang des Rentenanspruchs ( Art. 28 Abs. 1 und 1bis IVG ) und die Inva- liditätsbemessung bei Erwerbstätigen nach der Methode des Einkommensvergleichs ( Art. 28 Abs. 2 IVG ) zutreffend dar- gelegt. Richtig sind auch die Ausführungen zur Revision der Invalidenrente ( Art. 41 IVG ; vgl. auch Art. 88a f. IVV; BGE 117 V 199 Erw. 3b, 113 V 275 Erw. 1a mit Hinweisen), namentlich zu den dabei zu vergleichenden Sachverhalten ( BGE 112 V 372 Erw. 2b und 390 Erw. 1b, 109 V 265 Erw. 4a), zur den ärztlichen Stellungnahmen bei der Ermittlung des Invaliditätsgrades zukommenden Bedeutung ( BGE 115 V 134 Erw. 2, 114 V 314 Erw. 3c, 105 V 158 Erw. 1 und 207 f. Erw. 2) sowie zur richterlichen Beweiswürdigung von Arzt- berichten ( BGE 122 V 160 Erw. 1c; RKUV 1991 Nr. U 133 S. 312 Erw. 1b; vgl. auch BGE 125 V 352 ff. Erw. 3). Darauf kann verwiesen werden.</w:t>
      </w:r>
    </w:p>
    <w:p>
      <w:r>
        <w:rPr>
          <w:b/>
        </w:rPr>
        <w:t>E. 2</w:t>
      </w:r>
    </w:p>
    <w:p>
      <w:r>
        <w:t>Streitig ist, ob sich der Gesundheitszustand des Beschwerdeführers seit dem Zeitpunkt der ursprünglichen Rentenverfügungen vom 22. September 1994 bis zu den hier streitigen Verfügungen vom 26. Juni/17. Juli 1996 in revi- sionsrechtlich bedeutsamer Weise verändert und gegebenen- falls welche Auswirkungen dies auf den Invaliditätsgrad hat. In der Verwaltungsgerichtsbeschwerde wird nicht mehr bestritten, dass sich die somatischen Leiden im massgeb- lichen Zeitraum insofern verbessert haben, als der Be- schwerdeführer für leichte und mittelschwere Tätigkeiten ohne Heben und Tragen von schweren Lasten zu 100 % arbeits- fähig ist. Uneinigkeit besteht indessen hinsichtlich der psychischen Gesundheitsstörungen. Während die Vorinstanz mit Blick auf die im Rahmen der Begutachtung in der Begut- achtungsstelle P.________ von Dr. med. T.________ erhobenen Befunde das Vorliegen eines die Arbeitsfähigkeit beein- trächtigenden geistigen Gesundheitsschadens im Verfügungs- zeitpunkt vom 26. Juni/17. Juli 1996 verneint, hält der Be- schwerdeführer unter Hinweis auf die Stellungnahmen des Dr. med. R.________ vom 10. Juni 1996 sowie der Frau Dr. med. B.________ vom 17. März 1999 dafür, dass sich das Krankheitsbild des Beschwerdeführers seit Erlass der Ver- fügung vom 22. September 1994 in psychischer Hinsicht ver- schlechtert und im Zeitpunkt der streitigen Verwaltungsakte vom 26. Juni/17. Juli 1996 eine vollständige Arbeitsunfä- higkeit bestanden habe.</w:t>
      </w:r>
    </w:p>
    <w:p>
      <w:r>
        <w:rPr>
          <w:b/>
        </w:rPr>
        <w:t>E. 3</w:t>
      </w:r>
    </w:p>
    <w:p>
      <w:r>
        <w:t>a) Den Berichten des Dr. med. K.________ vom 29. Juni und 11. Dezember 1994 lässt sich eine Verdrän- gungsproblematik entnehmen. Diese schien angesichts der Vielzahl von somatischen Leiden indes in den Hintergrund gerückt, wurde sie im Bericht der Klinik Y.________ vom 28. Juni 1994 doch nicht einmal erwähnt. Dr. med. T.________ verneinte sodann anlässlich seiner Untersuchung eine eigentliche Psychopathologie und führte aus, es handle sich eher um ein soziales oder transkulturelles Zustands- und Krankheitsbild ohne Beeinträchtigung der Arbeitsfähig- keit. In Kenntnis dieser Stellungnahme beschrieb Dr. med. R.________ knapp ein Jahr später in seinem Bericht vom 10. Juni 1996 eine depressive, zu einer 100%igen Arbeits- unfähigkeit führende Verstimmung des Beschwerdeführers, die dieser abzuwehren versuche und die damit über den invalidi- sierenden Schmerz ausagiert werde. Frau Dr. med. B.________ gelangte am 17. März 1999 ihrerseits zum Schluss, der Be- schwerdeführer leide an einer reaktiven Depression mittle- ren Grades bei chronifiziertem Grundleiden (Rückenschmer- zen) bei einer gehemmten Persönlichkeit, wobei diese erheb- liche psychische Problematik bereits zu Beginn der Psycho- therapie Ende Juni 1996 bestanden habe. Zur Frage der Ar- beitsfähigkeit nahm sie keine Stellung. b) Angesichts der geschilderten medizinischen Akten- lage bestehen gewisse Anhaltspunkte, dass im massgeblichen Zeitraum eine psychische Fehlentwicklung eingetreten ist. Unklar bleibt auf Grund der ärztlichen Aussagen jedoch, ob es sich hiebei um einen IV-rechtlich relevanten geistigen Gesundheitsschaden handelt, welcher die Arbeitsfähigkeit zusätzlich zu den somatischen Beschwerden erheblich beein- trächtigt und den der Versicherte auch bei Aufbietung allen guten Willens, Arbeit in ausreichendem Masse zu verrichten, nicht zu vermeiden vermöchte (vgl. BGE 102 V 165 ; AHI 1996 S. 302 Erw. 2a, S. 305 Erw. 1a, S. 308 Erw. 2a; ZAK 1992 S. 170 Erw. 2a). Entgegen der Auffassung des kantonalen Gerichts, welches eine mögliche Akzentuierung der psycho- somatischen Leiden während der relevanten Zeitspanne eben- falls für möglich hält, kann eine allfällig dadurch beding- te Beeinträchtigung der Arbeitsfähigkeit im Zeitpunkt des Erlasses der streitigen Verfügungen Mitte 1996 allein ge- stützt auf die Stellungnahme des Dr. med. T.________ nicht vollumfänglich verneint werden. Es wird daher Aufgabe der Verwaltung sein, an welche die Sache zurückzuweisen ist, die aufgeworfenen Fragen durch ein psychiatrisches Gutach- ten abklären zu lassen und hernach über den Rentenanspruch des Beschwerdeführers revisionsweise neu zu verfügen.</w:t>
      </w:r>
    </w:p>
    <w:p>
      <w:r>
        <w:rPr>
          <w:b/>
        </w:rPr>
        <w:t>E. 4</w:t>
      </w:r>
    </w:p>
    <w:p>
      <w:r>
        <w:t>Entsprechend dem Ausgang des Verfahrens hat die IV-Stelle dem durch einen Mitarbeiter des Rechtsdienstes P.________ qualifiziert vertretenen Beschwerdeführer eine Parteientschädigung zu bezahlen (Art. 159 in Verbindung mit Art. 135 OG ; nicht veröffentlichte Urteile Z. vom 8. März 2000, I 574/99, und G. vom 19. November 1998, I 336/97). Demnach erkennt das Eidg. Versicherungsgericht: I. In teilweiser Gutheissung der Verwaltungsgerichts- beschwerde werden der Entscheid des Sozialversiche- rungsgerichts des Kantons Zürich vom 26. Januar 1999 und die Verfügungen vom 26. Juni und 17. Juli 1996 aufgehoben und die Sache an die IV-Stelle des Kantons Zürich zurückgewiesen, damit sie im Sinne der Erwä- gungen verfahre und hernach neu verfüge. II. Es werden keine Gerichtskosten erhoben. III. Die IV-Stelle des Kantons Zürich hat dem Beschwerde- führer für das Verfahren vor dem Eidgenössischen Ver- sicherungsgericht eine Parteientschädigung von Fr. 1000.- (einschliesslich Mehrwertsteuer) zu bezah- len. IV. Das Sozialversicherungsgericht des Kantons Zürich wird über eine Parteientschädigung für das kantonale Ver- fahren entsprechend dem Ausgang des letztinstanzlichen Prozesses zu befinden haben. V. Dieses Urteil wird den Parteien, dem Sozialversiche- rungsgericht des Kantons Zürich und dem Bundesamt für Sozialversicherung zugestellt. Luzern, 3. Mai 2000 Im Namen des Eidgenössischen Versicherungsgerichts Der Präsident der III. Kammer: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