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127/01 vom 20. September 2002</w:t>
      </w:r>
    </w:p>
    <w:p>
      <w:r>
        <w:t>Bundesgericht, 2002-09-20, DE</w:t>
      </w:r>
    </w:p>
    <w:p>
      <w:r>
        <w:rPr>
          <w:b/>
        </w:rPr>
        <w:t xml:space="preserve">Quelle: </w:t>
      </w:r>
      <w:r>
        <w:t>https://mcp.opencaselaw.ch/entscheid/bger_I_127_01</w:t>
      </w:r>
    </w:p>
    <w:p>
      <w:r>
        <w:t>FR: TF I 127/01 du 20 septembre 2002</w:t>
      </w:r>
    </w:p>
    <w:p>
      <w:r>
        <w:t>IT: TF I 127/01 del 20 settembre 2002</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2.1</w:t>
      </w:r>
    </w:p>
    <w:p>
      <w:r>
        <w:t>Das kantonale Gericht hat die massgebenden Bestimmungen über den Anspruch auf medizinische Massnahmen physiotherapeutischer Art bei Lähmungen und andern motorischen Funktionsausfällen ( Art. 12 Abs. 1 und 2 IVG sowie Art. 2 Abs. 1-3 IVV ) und die dazu ergangene Rechtsprechung ( BGE 120 V 279 Erw. 3a, 108 V 217 Erw. 1a; AHI 1999 S. 126 Erw. 2a mit weiteren Hinweisen) zutreffend dargelegt. Es kann darauf verwiesen werden.</w:t>
      </w:r>
    </w:p>
    <w:p>
      <w:r>
        <w:rPr>
          <w:b/>
        </w:rPr>
        <w:t>E. 2.2</w:t>
      </w:r>
    </w:p>
    <w:p>
      <w:r>
        <w:t>Ergänzend ist festzuhalten,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 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 wie Krankheitswert aufweisenden Geschehens labiler Art gerichtet sind, nicht ins Gebiet der Invalidenversicherung. Erst wenn die Phase des (primären oder sekundären) labilen pathologischen Geschehens insgesamt abgeschlossen und ein stabiler bzw. relativ stabilisierter Zustand eingetreten ist, kann sich - bei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Eingliederungserfolg, für sich allein betrachtet, ist im Rahmen des Art. 12 IVG kein taugliches Abgrenzungskriterium, zumal praktisch jede ärztliche Vorkehr, die medizinisch erfolgreich ist, auch im erwerblichen Leben eine entsprechende Verbesserung bewirkt ( BGE 120 V 279 Erw. 3a, 115 V 194 Erw. 3, 112 V 349 Erw. 2, 105 V 19 und 149, 104 V 82, 102 V 42).</w:t>
      </w:r>
    </w:p>
    <w:p>
      <w:r>
        <w:rPr>
          <w:b/>
        </w:rPr>
        <w:t>E. 2.3</w:t>
      </w:r>
    </w:p>
    <w:p>
      <w:r>
        <w:t>Die Voraussetzungen für die Gewährung von Physiotherapie bei Lähmungen und andern motorischen Funktionsausfällen als medizinische Massnahmen durch die Invalidenversicherung hat der Bundesrat näher umschrieben ( Art. 2 Abs. 2 und Abs. 3 IVV in Verbindung mit Art. 12 Abs. 2 IVG ). Auch im Anwendungsbereich dieser Verordnungsbestimmungen muss das gesetzliche Erfordernis eines stabilen oder zumindest relativ stabilisierten Gesundheitszustandes erfüllt sein. Der Invalidenversicherung erwächst nach Art. 2 Abs. 2 und Abs. 3 IVV auch dann keine Leistungspflicht, wenn die Physiotherapie auf die Behandlung eines - auf die Lähmung zurückgehenden - sekundären Krankheitsgeschehens gerichtet ist wie beispielsweise Zirkulationsstörungen, Skelettdeformitäten oder Kontrakturen. Ebenfalls nicht zu Lasten der Invalidenversicherung gehen physiotherapeutische Vorkehren, die nur labiles pathologisches Geschehen mildern ( BGE 108 V 218 Erw. 1a mit Hinweisen).</w:t>
      </w:r>
    </w:p>
    <w:p>
      <w:r>
        <w:rPr>
          <w:b/>
        </w:rPr>
        <w:t>E. 2.4</w:t>
      </w:r>
    </w:p>
    <w:p>
      <w:r>
        <w:t>Die Rechtsprechung hat festgehalten, dass sich stabilisierende Vorkehren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sei ( BGE 98 V 209 ).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 BGE 102 V 42 f.; AHI 1999 S. 127 Erw. 2d, ZAK 1988 S. 86 f. Erw. 1).</w:t>
      </w:r>
    </w:p>
    <w:p>
      <w:r>
        <w:rPr>
          <w:b/>
        </w:rPr>
        <w:t>E. 3</w:t>
      </w:r>
    </w:p>
    <w:p>
      <w:r>
        <w:t>Dieses Urteil wird den Parteien, dem Verwaltungsgericht des Kantons Bern, Sozialversicherungsrechtliche Abteilung, der IV-Stelle Bern und der Eidgenössischen Ausgleichskasse zugestellt. Luzern, 20. September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