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84/01 vom 26. Juli 2001</w:t>
      </w:r>
    </w:p>
    <w:p>
      <w:r>
        <w:t>Bundesgericht, 2001-07-26, FR</w:t>
      </w:r>
    </w:p>
    <w:p>
      <w:r>
        <w:rPr>
          <w:b/>
        </w:rPr>
        <w:t xml:space="preserve">Quelle: </w:t>
      </w:r>
      <w:r>
        <w:t>https://mcp.opencaselaw.ch/entscheid/bger_H_84_01</w:t>
      </w:r>
    </w:p>
    <w:p>
      <w:r>
        <w:t>FR: TF H 84/01 du 26 juillet 2001</w:t>
      </w:r>
    </w:p>
    <w:p>
      <w:r>
        <w:t>IT: TF H 84/01 del 26 luglio 2001</w:t>
      </w:r>
    </w:p>
    <w:p>
      <w:pPr>
        <w:pStyle w:val="Heading2"/>
      </w:pPr>
      <w:r>
        <w:t>Regeste</w:t>
      </w:r>
    </w:p>
    <w:p>
      <w:r>
        <w:t>Assurance-vieillesse et survivants</w:t>
      </w:r>
    </w:p>
    <w:p>
      <w:pPr>
        <w:pStyle w:val="Heading2"/>
      </w:pPr>
      <w:r>
        <w:t>Erwägungen</w:t>
      </w:r>
    </w:p>
    <w:p>
      <w:r>
        <w:rPr>
          <w:b/>
        </w:rPr>
        <w:t>E. 1</w:t>
      </w:r>
    </w:p>
    <w:p>
      <w:r>
        <w:t>Les premiers juges ont exposé correctement les conditions auxquelles les bénéficiaires de rentes de vieillesse peuvent prétendre une allocation pour impotent (cf. art. 43bis al. 1 et 5 LAVS , 42 al. 2 LAI, 36 al. 2 RAI), de sorte qu'il suffit de renvoyer à leurs considérants.</w:t>
      </w:r>
    </w:p>
    <w:p>
      <w:r>
        <w:rPr>
          <w:b/>
        </w:rPr>
        <w:t>E. 2</w:t>
      </w:r>
    </w:p>
    <w:p>
      <w:r>
        <w:t>a) Le recourant soutient derechef que son besoin de surveillance personnelle n'a pas été pris en compte dans l'évaluation de son impotence. b) Ce moyen ne lui est d'aucun secours. Certes, selon les responsables de l'hôpital X.________, son état de santé nécessite une surveillance personnelle durant une heure par jour. Mais à teneur du texte clair de l' art. 36 al. 2 let. b RAI , il faudrait que cette surveillance soit permanente pour qu'elle ait une incidence sur le droit à l'allocation litigieuse.</w:t>
      </w:r>
    </w:p>
    <w:p>
      <w:r>
        <w:rPr>
          <w:b/>
        </w:rPr>
        <w:t>E. 3</w:t>
      </w:r>
    </w:p>
    <w:p>
      <w:r>
        <w:t>a) Pour le surplus, il est établi que le recourant a besoin de l'aide d'autrui pour accomplir au moins trois actes ordinaires de la vie (se vêtir et se dévêtir, faire sa toilette, se déplacer à l'extérieur et établir des contacts avec l'entourage). Il reste ainsi à examiner s'il est empêché d'effectuer un quatrième acte ordinaire de la vie sans l'aide d'autrui, savoir se lever, s'asseoir et se coucher (ch. 3.1.2 du questionnaire), comme il le soutient. A cet égard, il se réfère au certificat du docteur C.________ du 18 janvier 2000, dans lequel ce médecin avait attesté qu'il avait besoin de soins depuis plusieurs années, notamment pour se lever. b) Les déclarations du docteur C.________ du 18 janvier 2000 peuvent apparaître contradictoires avec celles que son confrère A.________ avait faites quelques mois auparavant (voir le ch. 3.1.2 du questionnaire du 14 juin 1999). Cependant, on doit plutôt admettre que le docteur C.________ a porté une nouvelle appréciation sur l'état de santé du recourant, existant au jour où il a rédigé son certificat. S'il avait estimé que le rapport de son confrère A.________ du 8 juillet 1999 était erroné ou lacunaire sur un point essentiel pour statuer sur le droit du recourant à une allocation pour impotent, le docteur C.________ n'aurait certainement pas manqué de le signaler dans son écriture du 18 janvier 2000, en y joignant le cas échéant l'avis de son confrère (lequel, faut-il le souligner, travaille dans le même établissement de soins et s'occupe du même patient que lui). Il ne l'a toutefois pas fait.</w:t>
      </w:r>
    </w:p>
    <w:p>
      <w:r>
        <w:rPr>
          <w:b/>
        </w:rPr>
        <w:t>E. 4</w:t>
      </w:r>
    </w:p>
    <w:p>
      <w:r>
        <w:t>Il s'ensuit que l'intimée a refusé à bon droit de verser l'allocation pour impotence moyenne sollicitée, compte tenu de l'état de fait existant au moment où elle a rendu sa décision litigieuse ( ATF 121 V 366 consid. 1b et les arrêts cités). Les premiers juges l'ont donc confirmée à juste titre.</w:t>
      </w:r>
    </w:p>
    <w:p>
      <w:r>
        <w:rPr>
          <w:b/>
        </w:rPr>
        <w:t>E. 5</w:t>
      </w:r>
    </w:p>
    <w:p>
      <w:r>
        <w:t>Limitée à la dispense de payer d'éventuels frais de procédure, la demande d'assistance judiciaire est sans objet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