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H_73/2003 vom 23. Oktober 2003</w:t>
      </w:r>
    </w:p>
    <w:p>
      <w:r>
        <w:t>Bundesgericht, 2003-10-23, DE</w:t>
      </w:r>
    </w:p>
    <w:p>
      <w:r>
        <w:rPr>
          <w:b/>
        </w:rPr>
        <w:t xml:space="preserve">Quelle: </w:t>
      </w:r>
      <w:r>
        <w:t>https://mcp.opencaselaw.ch/entscheid/bger_H_73_2003</w:t>
      </w:r>
    </w:p>
    <w:p>
      <w:r>
        <w:t>FR: TF H_73/2003 du 23 octobre 2003</w:t>
      </w:r>
    </w:p>
    <w:p>
      <w:r>
        <w:t>IT: TF H_73/2003 del 23 ottobre 2003</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(Freivogel, Zu den Verfahrensbestimmungen des ATSG, in: Schaffhauser/Kieser, Bundesgesetz über den Allgemeinen Teil des Sozialversicherungsrechts [ATSG], S. 115), dem üblichen Rechtspflegeverfahren der Sozialversicherung angepasst worden.</w:t>
      </w:r>
    </w:p>
    <w:p>
      <w:r>
        <w:rPr>
          <w:b/>
        </w:rPr>
        <w:t>E. 3.1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fehlt eine ausdrückliche Übergangsordnung zum anwendbaren Recht für den Fall, dass die Schadenersatzverfügung noch unter dem alten Recht erging und hiegegen bis Ende 2002 oder nach In-Kraft-Treten des ATSG Einspruch erhoben worden ist. Es stellt sich die Frage, ob die Ausgleichskassen in solchen Fällen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3.2</w:t>
      </w:r>
    </w:p>
    <w:p>
      <w:r>
        <w:t>Nach der Rechtsprechung sind neue Verfahrensvorschriften mangels anderslautender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112 V 360 Erw. 4a; RKUV 1998 Nr. KV 37 S. 316 Erw. 3b; SVR 1995 MV Nr. 4 S. 12 Erw. 2b).</w:t>
      </w:r>
    </w:p>
    <w:p>
      <w:r>
        <w:rPr>
          <w:b/>
        </w:rPr>
        <w:t>E. 3.3.1</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11). Eine solche Kontinuität wurde auch bei der Ablösung des zweiten Titels des KUVG durch das UVG bejaht; diese Gesetzesrevision habe prozessual nur punktuelle Änderungen gebracht ( BGE 111 V 46 Erw. 4).</w:t>
      </w:r>
    </w:p>
    <w:p>
      <w:r>
        <w:rPr>
          <w:b/>
        </w:rPr>
        <w:t>E. 3.3.2</w:t>
      </w:r>
    </w:p>
    <w:p>
      <w:r>
        <w:t>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als zeitlicher Anknüpfungspunkt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3.4.1</w:t>
      </w:r>
    </w:p>
    <w:p>
      <w:r>
        <w:t>Nach Kieser (a.a.O., Art. 82 Rz 8) treten die formellen Bestimmungen des ATSG, d.h. die Art. 27-62, sofort in Kraft. Soweit allerdings eine Frist im Zeitpunkt des In-Kraft-Tretens des Gesetzes noch nicht abgelaufen sei, richteten sich der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(Maeschi, Kommentar zum Bundesgesetz über die Militärversicherung, Art. 117 Rz 2-4). Aus dieser verfahrensrechtlichen Übergangsbestimmung lässt sich daher nichts Zwingendes gegen die von der Vorinstanz eingeschlagene Praxis einwenden.</w:t>
      </w:r>
    </w:p>
    <w:p>
      <w:r>
        <w:rPr>
          <w:b/>
        </w:rPr>
        <w:t>E. 3.4.2</w:t>
      </w:r>
    </w:p>
    <w:p>
      <w:r>
        <w:t>Ebenso wenig kann hiegegen der Umstand ins Feld geführt werden, dass die Gesetze im prozessualen intertemporalen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(Kölz, Intertemporales Verwaltungsrecht, ZSR 1983, 2. Halbband, S. 223). Im vorliegenden Fall war die altrechtlich ergangene Schadenersatzverfügung nicht mit einem Rechtsmittel anfechtbar, weil der Klageweg vorgeschrieben war.</w:t>
      </w:r>
    </w:p>
    <w:p>
      <w:r>
        <w:rPr>
          <w:b/>
        </w:rPr>
        <w:t>E. 3.5</w:t>
      </w:r>
    </w:p>
    <w:p>
      <w:r>
        <w:t>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3.6.1</w:t>
      </w:r>
    </w:p>
    <w:p>
      <w:r>
        <w:t>Der Einwand der Ausgleichskasse, mit der Schadenersatzverfügung sei die Forderung im Sinne von Art. 82 Abs. 1 ATSG "festgesetzt" worden, womit altes Recht anwendbar sei, ist nicht stichhaltig. Bei dieser Norm geht es um rechtskräftig festgesetzte Leistungen und Forderungen, was bei einer Verfügung nach Art. 81 Abs. 1 AHVV , gegen die Einspruch erhoben wurde oder noch erhoben werden kann, nicht der Fall ist.</w:t>
      </w:r>
    </w:p>
    <w:p>
      <w:r>
        <w:t>Ebenso wenig war die Kasse zur Vermeidung der Verwirkungsfolge gezwungen, Klage einzureichen. Mit dem Erlass eines Einspracheentscheides nach dem 1. Januar 2003 konnte sie keinen Rechtsverlust erleiden. Mit der sofortigen, stufengerechten Anwendung der neuen formellrechtlichen Bestimmungen ist die Durchsetzbarkeit der Schadenersatzforderungen der Kasse gewährleistet. Weder die Ausgleichskasse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Soweit die Schadenersatzklage FAK-Beiträge betrifft, ist auf die Verwaltungsgerichtsbeschwerde nicht einzutreten ( BGE 119 V 80 Erw. 1b).</w:t>
      </w:r>
    </w:p>
    <w:p>
      <w:r>
        <w:rPr>
          <w:b/>
        </w:rPr>
        <w:t>E. 6</w:t>
      </w:r>
    </w:p>
    <w:p>
      <w:r>
        <w:t>Nach dem Gesagten ist mangels anderslautender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7</w:t>
      </w:r>
    </w:p>
    <w:p>
      <w:r>
        <w:t>Das Verfahren ist grundsätzlich kostenpflichtig, weil nicht die Bewilligung oder Verweigerung von Versicherungsleistungen streitig ist, sondern einzig eine prozessuale Frage zur Diskussion stand ( Art. 134 OG e contrario; Urteil S. vom 5. September 2003, B 105/01).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